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ind w:left="0" w:right="0" w:hanging="0"/>
        <w:jc w:val="center"/>
        <w:rPr>
          <w:rFonts w:eastAsia="新細明體"/>
          <w:b/>
          <w:i w:val="false"/>
          <w:caps w:val="false"/>
          <w:smallCaps w:val="false"/>
          <w:color w:val="FF00FF"/>
          <w:spacing w:val="0"/>
          <w:sz w:val="48"/>
        </w:rPr>
      </w:pPr>
      <w:bookmarkStart w:id="0" w:name="__DdeLink__1_3952352724"/>
      <w:r>
        <w:rPr>
          <w:rFonts w:eastAsia="新細明體"/>
          <w:b/>
          <w:i w:val="false"/>
          <w:caps w:val="false"/>
          <w:smallCaps w:val="false"/>
          <w:color w:val="FF00FF"/>
          <w:spacing w:val="0"/>
          <w:sz w:val="48"/>
        </w:rPr>
        <w:t>顛倒語詞</w:t>
      </w:r>
      <w:bookmarkEnd w:id="0"/>
      <w:r>
        <w:rPr>
          <w:rFonts w:eastAsia="新細明體"/>
          <w:b/>
          <w:i w:val="false"/>
          <w:caps w:val="false"/>
          <w:smallCaps w:val="false"/>
          <w:color w:val="FF00FF"/>
          <w:spacing w:val="0"/>
          <w:sz w:val="48"/>
        </w:rPr>
        <w:t>：</w:t>
      </w:r>
    </w:p>
    <w:p>
      <w:pPr>
        <w:pStyle w:val="Style15"/>
        <w:widowControl/>
        <w:jc w:val="center"/>
        <w:rPr>
          <w:caps w:val="false"/>
          <w:smallCaps w:val="false"/>
          <w:color w:val="000066"/>
          <w:spacing w:val="0"/>
        </w:rPr>
      </w:pPr>
      <w:r>
        <w:rPr>
          <w:caps w:val="false"/>
          <w:smallCaps w:val="false"/>
          <w:color w:val="000066"/>
          <w:spacing w:val="0"/>
        </w:rPr>
        <w:drawing>
          <wp:inline distT="0" distB="0" distL="0" distR="0">
            <wp:extent cx="3441700" cy="88900"/>
            <wp:effectExtent l="0" t="0" r="0" b="0"/>
            <wp:docPr id="1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影像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widowControl/>
        <w:ind w:left="720" w:right="0" w:hanging="360"/>
        <w:rPr>
          <w:caps w:val="false"/>
          <w:smallCaps w:val="false"/>
          <w:color w:val="000066"/>
          <w:spacing w:val="0"/>
        </w:rPr>
      </w:pPr>
      <w:r>
        <w:rPr>
          <w:rFonts w:ascii="華康中黑體(P)" w:hAnsi="華康中黑體(P)"/>
          <w:b/>
          <w:i w:val="false"/>
          <w:caps w:val="false"/>
          <w:smallCaps w:val="false"/>
          <w:color w:val="FF0000"/>
          <w:spacing w:val="0"/>
          <w:sz w:val="36"/>
          <w:lang w:val="en-US"/>
        </w:rPr>
        <w:t>1.  </w:t>
      </w:r>
      <w:r>
        <w:rPr>
          <w:rFonts w:eastAsia="華康中黑體(P)"/>
          <w:b/>
          <w:i w:val="false"/>
          <w:caps w:val="false"/>
          <w:smallCaps w:val="false"/>
          <w:color w:val="FF0000"/>
          <w:spacing w:val="0"/>
          <w:sz w:val="36"/>
        </w:rPr>
        <w:t>語詞顛倒後意義沒有改變，二詞可通用：</w:t>
      </w:r>
    </w:p>
    <w:tbl>
      <w:tblPr>
        <w:tblW w:w="6780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356"/>
        <w:gridCol w:w="1356"/>
        <w:gridCol w:w="1356"/>
        <w:gridCol w:w="1356"/>
      </w:tblGrid>
      <w:tr>
        <w:trPr/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光榮─榮光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痛苦─苦痛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荏苒─苒荏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泉源─源泉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生平─平生</w:t>
            </w:r>
          </w:p>
        </w:tc>
      </w:tr>
      <w:tr>
        <w:trPr/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演講─講演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併吞─吞併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浮沉─沉浮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嫉妒─妒嫉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詐欺─欺詐</w:t>
            </w:r>
          </w:p>
        </w:tc>
      </w:tr>
      <w:tr>
        <w:trPr/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心寒─寒心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損毀─毀損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抑鬱─鬱抑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宅第─第宅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祖先─先祖</w:t>
            </w:r>
          </w:p>
        </w:tc>
      </w:tr>
      <w:tr>
        <w:trPr/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  <w:color w:val="000000"/>
              </w:rPr>
              <w:t>失散</w:t>
            </w:r>
            <w:r>
              <w:rPr>
                <w:b/>
              </w:rPr>
              <w:t>─</w:t>
            </w:r>
            <w:r>
              <w:rPr>
                <w:b/>
                <w:color w:val="000000"/>
              </w:rPr>
              <w:t>散失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  <w:color w:val="000000"/>
              </w:rPr>
              <w:t>山河</w:t>
            </w:r>
            <w:r>
              <w:rPr>
                <w:b/>
              </w:rPr>
              <w:t>─</w:t>
            </w:r>
            <w:r>
              <w:rPr>
                <w:b/>
                <w:color w:val="000000"/>
              </w:rPr>
              <w:t>河山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  <w:color w:val="000000"/>
              </w:rPr>
              <w:t>和諧</w:t>
            </w:r>
            <w:r>
              <w:rPr>
                <w:b/>
              </w:rPr>
              <w:t>─</w:t>
            </w:r>
            <w:r>
              <w:rPr>
                <w:b/>
                <w:color w:val="000000"/>
              </w:rPr>
              <w:t>諧和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  <w:color w:val="000000"/>
              </w:rPr>
              <w:t>往來</w:t>
            </w:r>
            <w:r>
              <w:rPr>
                <w:b/>
              </w:rPr>
              <w:t>─</w:t>
            </w:r>
            <w:r>
              <w:rPr>
                <w:b/>
                <w:color w:val="000000"/>
              </w:rPr>
              <w:t>來往</w:t>
            </w:r>
          </w:p>
        </w:tc>
        <w:tc>
          <w:tcPr>
            <w:tcW w:w="1356" w:type="dxa"/>
            <w:tcBorders/>
            <w:shd w:fill="auto" w:val="clear"/>
          </w:tcPr>
          <w:p>
            <w:pPr>
              <w:pStyle w:val="Style19"/>
              <w:spacing w:before="0" w:after="283"/>
              <w:rPr/>
            </w:pPr>
            <w:r>
              <w:rPr/>
              <w:t>　</w:t>
            </w:r>
          </w:p>
        </w:tc>
      </w:tr>
    </w:tbl>
    <w:p>
      <w:pPr>
        <w:pStyle w:val="Style15"/>
        <w:widowControl/>
        <w:ind w:left="720" w:right="0" w:hanging="0"/>
        <w:jc w:val="center"/>
        <w:rPr>
          <w:rFonts w:eastAsia="新細明體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eastAsia="新細明體"/>
          <w:b/>
          <w:i w:val="false"/>
          <w:caps w:val="false"/>
          <w:smallCaps w:val="false"/>
          <w:color w:val="000000"/>
          <w:spacing w:val="0"/>
          <w:sz w:val="28"/>
        </w:rPr>
        <w:t>　</w:t>
      </w:r>
    </w:p>
    <w:p>
      <w:pPr>
        <w:pStyle w:val="Style15"/>
        <w:widowControl/>
        <w:ind w:left="720" w:right="0" w:hanging="360"/>
        <w:rPr>
          <w:caps w:val="false"/>
          <w:smallCaps w:val="false"/>
          <w:color w:val="000066"/>
          <w:spacing w:val="0"/>
        </w:rPr>
      </w:pPr>
      <w:r>
        <w:rPr>
          <w:rFonts w:ascii="華康中黑體(P)" w:hAnsi="華康中黑體(P)"/>
          <w:b/>
          <w:i w:val="false"/>
          <w:caps w:val="false"/>
          <w:smallCaps w:val="false"/>
          <w:color w:val="800080"/>
          <w:spacing w:val="0"/>
          <w:sz w:val="36"/>
          <w:lang w:val="en-US"/>
        </w:rPr>
        <w:t>2.  </w:t>
      </w:r>
      <w:r>
        <w:rPr>
          <w:rFonts w:eastAsia="華康中黑體(P)"/>
          <w:b/>
          <w:i w:val="false"/>
          <w:caps w:val="false"/>
          <w:smallCaps w:val="false"/>
          <w:color w:val="800080"/>
          <w:spacing w:val="0"/>
          <w:sz w:val="36"/>
        </w:rPr>
        <w:t>字序相反意義相同，而上詞是國語，下詞是閩南語：</w:t>
      </w:r>
    </w:p>
    <w:tbl>
      <w:tblPr>
        <w:tblW w:w="6720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344"/>
        <w:gridCol w:w="1344"/>
        <w:gridCol w:w="1344"/>
        <w:gridCol w:w="1344"/>
      </w:tblGrid>
      <w:tr>
        <w:trPr/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習慣─慣習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熱鬧─鬧熱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介紹─紹介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便利─利便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客人─人客</w:t>
            </w:r>
          </w:p>
        </w:tc>
      </w:tr>
      <w:tr>
        <w:trPr/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前頭─頭前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命運─運命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喜歡─歡喜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命好─好命</w:t>
            </w:r>
          </w:p>
        </w:tc>
        <w:tc>
          <w:tcPr>
            <w:tcW w:w="1344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母豬─豬母</w:t>
            </w:r>
          </w:p>
        </w:tc>
      </w:tr>
    </w:tbl>
    <w:p>
      <w:pPr>
        <w:pStyle w:val="Style15"/>
        <w:widowControl/>
        <w:ind w:left="720" w:right="0" w:hanging="0"/>
        <w:jc w:val="center"/>
        <w:rPr>
          <w:rFonts w:eastAsia="新細明體"/>
          <w:b/>
          <w:i w:val="false"/>
          <w:caps w:val="false"/>
          <w:smallCaps w:val="false"/>
          <w:color w:val="000066"/>
          <w:spacing w:val="0"/>
          <w:sz w:val="28"/>
        </w:rPr>
      </w:pPr>
      <w:r>
        <w:rPr>
          <w:rFonts w:eastAsia="新細明體"/>
          <w:b/>
          <w:i w:val="false"/>
          <w:caps w:val="false"/>
          <w:smallCaps w:val="false"/>
          <w:color w:val="000066"/>
          <w:spacing w:val="0"/>
          <w:sz w:val="28"/>
        </w:rPr>
        <w:t>　</w:t>
      </w:r>
    </w:p>
    <w:p>
      <w:pPr>
        <w:pStyle w:val="Style15"/>
        <w:widowControl/>
        <w:ind w:left="720" w:right="0" w:hanging="360"/>
        <w:rPr>
          <w:caps w:val="false"/>
          <w:smallCaps w:val="false"/>
          <w:color w:val="000066"/>
          <w:spacing w:val="0"/>
        </w:rPr>
      </w:pPr>
      <w:r>
        <w:rPr>
          <w:rFonts w:ascii="華康中黑體(P)" w:hAnsi="華康中黑體(P)"/>
          <w:b/>
          <w:i w:val="false"/>
          <w:caps w:val="false"/>
          <w:smallCaps w:val="false"/>
          <w:color w:val="FF00FF"/>
          <w:spacing w:val="0"/>
          <w:sz w:val="36"/>
          <w:lang w:val="en-US"/>
        </w:rPr>
        <w:t>3.  </w:t>
      </w:r>
      <w:r>
        <w:rPr>
          <w:rFonts w:eastAsia="華康中黑體(P)"/>
          <w:b/>
          <w:i w:val="false"/>
          <w:caps w:val="false"/>
          <w:smallCaps w:val="false"/>
          <w:color w:val="FF00FF"/>
          <w:spacing w:val="0"/>
          <w:sz w:val="36"/>
        </w:rPr>
        <w:t>字序相反意義不同，恰巧說明彼此的關聯或是物品的用途：</w:t>
      </w:r>
    </w:p>
    <w:tbl>
      <w:tblPr>
        <w:tblW w:w="6680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6"/>
        <w:gridCol w:w="1336"/>
        <w:gridCol w:w="1336"/>
      </w:tblGrid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手套─套手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魚網─網魚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蜜蜂─蜂蜜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球拍─拍球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牙刷─刷牙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鐵鎚─鎚鐵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算盤─盤算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音樂─樂音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白雪─雪白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選民─民選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美味─味美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衣著─著衣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生產─產生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rPr/>
            </w:pPr>
            <w:r>
              <w:rPr/>
              <w:t>　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rPr/>
            </w:pPr>
            <w:r>
              <w:rPr/>
              <w:t>　</w:t>
            </w:r>
          </w:p>
        </w:tc>
      </w:tr>
    </w:tbl>
    <w:p>
      <w:pPr>
        <w:pStyle w:val="Style15"/>
        <w:widowControl/>
        <w:ind w:left="720" w:right="0" w:hanging="0"/>
        <w:jc w:val="center"/>
        <w:rPr>
          <w:rFonts w:eastAsia="新細明體"/>
          <w:b/>
          <w:i w:val="false"/>
          <w:caps w:val="false"/>
          <w:smallCaps w:val="false"/>
          <w:color w:val="000066"/>
          <w:spacing w:val="0"/>
          <w:sz w:val="28"/>
        </w:rPr>
      </w:pPr>
      <w:r>
        <w:rPr>
          <w:rFonts w:eastAsia="新細明體"/>
          <w:b/>
          <w:i w:val="false"/>
          <w:caps w:val="false"/>
          <w:smallCaps w:val="false"/>
          <w:color w:val="000066"/>
          <w:spacing w:val="0"/>
          <w:sz w:val="28"/>
        </w:rPr>
        <w:t>　</w:t>
      </w:r>
    </w:p>
    <w:p>
      <w:pPr>
        <w:pStyle w:val="Style15"/>
        <w:widowControl/>
        <w:ind w:left="720" w:right="0" w:hanging="360"/>
        <w:rPr>
          <w:caps w:val="false"/>
          <w:smallCaps w:val="false"/>
          <w:color w:val="000066"/>
          <w:spacing w:val="0"/>
        </w:rPr>
      </w:pPr>
      <w:r>
        <w:rPr>
          <w:rFonts w:ascii="華康中黑體(P)" w:hAnsi="華康中黑體(P)"/>
          <w:b/>
          <w:i w:val="false"/>
          <w:caps w:val="false"/>
          <w:smallCaps w:val="false"/>
          <w:color w:val="800080"/>
          <w:spacing w:val="0"/>
          <w:sz w:val="36"/>
          <w:lang w:val="en-US"/>
        </w:rPr>
        <w:t>4.  </w:t>
      </w:r>
      <w:r>
        <w:rPr>
          <w:rFonts w:eastAsia="華康中黑體(P)"/>
          <w:b/>
          <w:i w:val="false"/>
          <w:caps w:val="false"/>
          <w:smallCaps w:val="false"/>
          <w:color w:val="800080"/>
          <w:spacing w:val="0"/>
          <w:sz w:val="36"/>
        </w:rPr>
        <w:t>語詞顛倒後意義改變，成為另一語詞：</w:t>
      </w:r>
    </w:p>
    <w:tbl>
      <w:tblPr>
        <w:tblW w:w="6680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336"/>
        <w:gridCol w:w="1336"/>
        <w:gridCol w:w="1336"/>
      </w:tblGrid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中華─華中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日本─本日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花蓮─蓮花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上海─海上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工人─人工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工兵─兵工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皮包─包皮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家人─人家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部下─下部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兄長─長兄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舅母─母舅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領帶─帶領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迎親─親迎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兒女─女兒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故事─事故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房產─產房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功用─用功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力量─量力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水滴─滴水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職稱─稱職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長處─處長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國法─法國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部分─分部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處分─分處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個別─別個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長處─處長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相識─識相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電台─台電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敵情─情敵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情人─人情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情調─調情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機動─動機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現實─實現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露白─白露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孫子─子孫</w:t>
            </w:r>
          </w:p>
        </w:tc>
      </w:tr>
      <w:tr>
        <w:trPr/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來歷─歷來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人文─文人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張開─開張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jc w:val="center"/>
              <w:rPr>
                <w:b/>
              </w:rPr>
            </w:pPr>
            <w:r>
              <w:rPr>
                <w:b/>
              </w:rPr>
              <w:t>外號─號外</w:t>
            </w:r>
          </w:p>
        </w:tc>
        <w:tc>
          <w:tcPr>
            <w:tcW w:w="1336" w:type="dxa"/>
            <w:tcBorders/>
            <w:shd w:fill="auto" w:val="clear"/>
          </w:tcPr>
          <w:p>
            <w:pPr>
              <w:pStyle w:val="Style19"/>
              <w:spacing w:before="0" w:after="283"/>
              <w:rPr/>
            </w:pPr>
            <w:r>
              <w:rPr/>
              <w:t>　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華康中黑體(P)">
    <w:charset w:val="8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"/>
        <w:kern w:val="2"/>
        <w:sz w:val="24"/>
        <w:szCs w:val="24"/>
        <w:lang w:val="en-US" w:eastAsia="zh-TW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新細明體" w:cs="Arial"/>
      <w:color w:val="auto"/>
      <w:kern w:val="2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表格內容"/>
    <w:basedOn w:val="Normal"/>
    <w:qFormat/>
    <w:pPr>
      <w:suppressLineNumbers/>
    </w:pPr>
    <w:rPr/>
  </w:style>
  <w:style w:type="paragraph" w:styleId="Style20">
    <w:name w:val="表格標題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://120.104.214.245/hai/images/lin/n-ani/ak019.gi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LibreOffice/6.2.2.2$Windows_X86_64 LibreOffice_project/2b840030fec2aae0fd2658d8d4f9548af4e3518d</Application>
  <Pages>2</Pages>
  <Words>498</Words>
  <Characters>502</Characters>
  <CharactersWithSpaces>517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2019-08-15T12:02:19Z</dcterms:created>
  <dc:creator/>
  <dc:description/>
  <dc:language>zh-TW</dc:language>
  <cp:lastModifiedBy/>
  <dcterms:modified xsi:type="dcterms:W3CDTF">2019-08-15T12:04:28Z</dcterms:modified>
  <cp:revision>1</cp:revision>
  <dc:subject/>
  <dc:title/>
</cp:coreProperties>
</file>