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tblCellMar>
          <w:left w:w="0" w:type="dxa"/>
          <w:right w:w="0" w:type="dxa"/>
        </w:tblCellMar>
        <w:tblLook w:val="04A0" w:firstRow="1" w:lastRow="0" w:firstColumn="1" w:lastColumn="0" w:noHBand="0" w:noVBand="1"/>
      </w:tblPr>
      <w:tblGrid>
        <w:gridCol w:w="2001"/>
        <w:gridCol w:w="6363"/>
      </w:tblGrid>
      <w:tr w:rsidR="00AA3990" w:rsidRPr="00AA3990" w:rsidTr="00AA3990">
        <w:tc>
          <w:tcPr>
            <w:tcW w:w="1985" w:type="dxa"/>
            <w:tcBorders>
              <w:top w:val="nil"/>
              <w:left w:val="nil"/>
              <w:bottom w:val="nil"/>
              <w:right w:val="nil"/>
            </w:tcBorders>
            <w:shd w:val="clear" w:color="auto" w:fill="auto"/>
            <w:noWrap/>
            <w:tcMar>
              <w:top w:w="72" w:type="dxa"/>
              <w:left w:w="0" w:type="dxa"/>
              <w:bottom w:w="72" w:type="dxa"/>
              <w:right w:w="0" w:type="dxa"/>
            </w:tcMar>
            <w:hideMark/>
          </w:tcPr>
          <w:p w:rsidR="00AA3990" w:rsidRPr="00AA3990" w:rsidRDefault="00AA3990" w:rsidP="00AA3990">
            <w:pPr>
              <w:widowControl/>
              <w:ind w:right="270"/>
              <w:jc w:val="right"/>
              <w:rPr>
                <w:rFonts w:ascii="標楷體" w:eastAsia="標楷體" w:hAnsi="標楷體" w:cs="新細明體"/>
                <w:b/>
                <w:bCs/>
                <w:color w:val="000000" w:themeColor="text1"/>
                <w:kern w:val="0"/>
                <w:sz w:val="32"/>
                <w:szCs w:val="32"/>
              </w:rPr>
            </w:pPr>
            <w:r w:rsidRPr="00AA3990">
              <w:rPr>
                <w:rFonts w:ascii="標楷體" w:eastAsia="標楷體" w:hAnsi="標楷體" w:cs="新細明體" w:hint="eastAsia"/>
                <w:b/>
                <w:bCs/>
                <w:color w:val="000000" w:themeColor="text1"/>
                <w:kern w:val="0"/>
                <w:sz w:val="32"/>
                <w:szCs w:val="32"/>
              </w:rPr>
              <w:t>法規名稱：</w:t>
            </w:r>
          </w:p>
        </w:tc>
        <w:bookmarkStart w:id="0" w:name="_GoBack"/>
        <w:tc>
          <w:tcPr>
            <w:tcW w:w="6379" w:type="dxa"/>
            <w:tcBorders>
              <w:top w:val="nil"/>
              <w:left w:val="nil"/>
              <w:bottom w:val="nil"/>
              <w:right w:val="nil"/>
            </w:tcBorders>
            <w:shd w:val="clear" w:color="auto" w:fill="auto"/>
            <w:tcMar>
              <w:top w:w="72" w:type="dxa"/>
              <w:left w:w="0" w:type="dxa"/>
              <w:bottom w:w="72" w:type="dxa"/>
              <w:right w:w="0" w:type="dxa"/>
            </w:tcMar>
            <w:hideMark/>
          </w:tcPr>
          <w:p w:rsidR="00AA3990" w:rsidRPr="00AA3990" w:rsidRDefault="00AA3990" w:rsidP="00AA3990">
            <w:pPr>
              <w:widowControl/>
              <w:rPr>
                <w:rFonts w:ascii="標楷體" w:eastAsia="標楷體" w:hAnsi="標楷體" w:cs="新細明體" w:hint="eastAsia"/>
                <w:color w:val="000000" w:themeColor="text1"/>
                <w:kern w:val="0"/>
                <w:sz w:val="32"/>
                <w:szCs w:val="32"/>
              </w:rPr>
            </w:pPr>
            <w:r w:rsidRPr="00AA3990">
              <w:rPr>
                <w:rFonts w:ascii="標楷體" w:eastAsia="標楷體" w:hAnsi="標楷體" w:cs="新細明體"/>
                <w:color w:val="000000" w:themeColor="text1"/>
                <w:kern w:val="0"/>
                <w:sz w:val="32"/>
                <w:szCs w:val="32"/>
              </w:rPr>
              <w:fldChar w:fldCharType="begin"/>
            </w:r>
            <w:r w:rsidRPr="00AA3990">
              <w:rPr>
                <w:rFonts w:ascii="標楷體" w:eastAsia="標楷體" w:hAnsi="標楷體" w:cs="新細明體"/>
                <w:color w:val="000000" w:themeColor="text1"/>
                <w:kern w:val="0"/>
                <w:sz w:val="32"/>
                <w:szCs w:val="32"/>
              </w:rPr>
              <w:instrText xml:space="preserve"> HYPERLINK "https://law.moj.gov.tw/LawClass/LawAll.aspx?pcode=H0070019" </w:instrText>
            </w:r>
            <w:r w:rsidRPr="00AA3990">
              <w:rPr>
                <w:rFonts w:ascii="標楷體" w:eastAsia="標楷體" w:hAnsi="標楷體" w:cs="新細明體"/>
                <w:color w:val="000000" w:themeColor="text1"/>
                <w:kern w:val="0"/>
                <w:sz w:val="32"/>
                <w:szCs w:val="32"/>
              </w:rPr>
              <w:fldChar w:fldCharType="separate"/>
            </w:r>
            <w:r w:rsidRPr="00AA3990">
              <w:rPr>
                <w:rFonts w:ascii="標楷體" w:eastAsia="標楷體" w:hAnsi="標楷體" w:cs="新細明體" w:hint="eastAsia"/>
                <w:color w:val="000000" w:themeColor="text1"/>
                <w:kern w:val="0"/>
                <w:sz w:val="32"/>
                <w:szCs w:val="32"/>
                <w:u w:val="single"/>
              </w:rPr>
              <w:t>國民小學及國民中學學生成績評量準則</w:t>
            </w:r>
            <w:r w:rsidRPr="00AA3990">
              <w:rPr>
                <w:rFonts w:ascii="標楷體" w:eastAsia="標楷體" w:hAnsi="標楷體" w:cs="新細明體"/>
                <w:color w:val="000000" w:themeColor="text1"/>
                <w:kern w:val="0"/>
                <w:sz w:val="32"/>
                <w:szCs w:val="32"/>
              </w:rPr>
              <w:fldChar w:fldCharType="end"/>
            </w:r>
            <w:bookmarkEnd w:id="0"/>
          </w:p>
        </w:tc>
      </w:tr>
      <w:tr w:rsidR="00AA3990" w:rsidRPr="00AA3990" w:rsidTr="00AA3990">
        <w:tc>
          <w:tcPr>
            <w:tcW w:w="1985" w:type="dxa"/>
            <w:tcBorders>
              <w:top w:val="nil"/>
              <w:left w:val="nil"/>
              <w:bottom w:val="nil"/>
              <w:right w:val="nil"/>
            </w:tcBorders>
            <w:shd w:val="clear" w:color="auto" w:fill="auto"/>
            <w:noWrap/>
            <w:tcMar>
              <w:top w:w="72" w:type="dxa"/>
              <w:left w:w="0" w:type="dxa"/>
              <w:bottom w:w="72" w:type="dxa"/>
              <w:right w:w="0" w:type="dxa"/>
            </w:tcMar>
            <w:hideMark/>
          </w:tcPr>
          <w:p w:rsidR="00AA3990" w:rsidRPr="00AA3990" w:rsidRDefault="00AA3990" w:rsidP="00AA3990">
            <w:pPr>
              <w:widowControl/>
              <w:ind w:right="270"/>
              <w:jc w:val="right"/>
              <w:rPr>
                <w:rFonts w:ascii="標楷體" w:eastAsia="標楷體" w:hAnsi="標楷體" w:cs="新細明體" w:hint="eastAsia"/>
                <w:b/>
                <w:bCs/>
                <w:color w:val="000000" w:themeColor="text1"/>
                <w:kern w:val="0"/>
                <w:sz w:val="32"/>
                <w:szCs w:val="32"/>
              </w:rPr>
            </w:pPr>
            <w:r w:rsidRPr="00AA3990">
              <w:rPr>
                <w:rFonts w:ascii="標楷體" w:eastAsia="標楷體" w:hAnsi="標楷體" w:cs="新細明體" w:hint="eastAsia"/>
                <w:b/>
                <w:bCs/>
                <w:color w:val="000000" w:themeColor="text1"/>
                <w:kern w:val="0"/>
                <w:sz w:val="32"/>
                <w:szCs w:val="32"/>
              </w:rPr>
              <w:t>修正日期：</w:t>
            </w:r>
          </w:p>
        </w:tc>
        <w:tc>
          <w:tcPr>
            <w:tcW w:w="6379" w:type="dxa"/>
            <w:tcBorders>
              <w:top w:val="nil"/>
              <w:left w:val="nil"/>
              <w:bottom w:val="nil"/>
              <w:right w:val="nil"/>
            </w:tcBorders>
            <w:shd w:val="clear" w:color="auto" w:fill="auto"/>
            <w:tcMar>
              <w:top w:w="72" w:type="dxa"/>
              <w:left w:w="0" w:type="dxa"/>
              <w:bottom w:w="72" w:type="dxa"/>
              <w:right w:w="0" w:type="dxa"/>
            </w:tcMar>
            <w:hideMark/>
          </w:tcPr>
          <w:p w:rsidR="00AA3990" w:rsidRPr="00AA3990" w:rsidRDefault="00AA3990" w:rsidP="00AA3990">
            <w:pPr>
              <w:widowControl/>
              <w:rPr>
                <w:rFonts w:ascii="標楷體" w:eastAsia="標楷體" w:hAnsi="標楷體" w:cs="新細明體" w:hint="eastAsia"/>
                <w:color w:val="000000" w:themeColor="text1"/>
                <w:kern w:val="0"/>
                <w:sz w:val="32"/>
                <w:szCs w:val="32"/>
              </w:rPr>
            </w:pPr>
            <w:r w:rsidRPr="00AA3990">
              <w:rPr>
                <w:rFonts w:ascii="標楷體" w:eastAsia="標楷體" w:hAnsi="標楷體" w:cs="新細明體" w:hint="eastAsia"/>
                <w:color w:val="000000" w:themeColor="text1"/>
                <w:kern w:val="0"/>
                <w:sz w:val="32"/>
                <w:szCs w:val="32"/>
              </w:rPr>
              <w:t>民國 108 年 06 月 28 日</w:t>
            </w:r>
          </w:p>
        </w:tc>
      </w:tr>
      <w:tr w:rsidR="00AA3990" w:rsidRPr="00AA3990" w:rsidTr="00AA3990">
        <w:tc>
          <w:tcPr>
            <w:tcW w:w="1985" w:type="dxa"/>
            <w:tcBorders>
              <w:top w:val="nil"/>
              <w:left w:val="nil"/>
              <w:bottom w:val="nil"/>
              <w:right w:val="nil"/>
            </w:tcBorders>
            <w:shd w:val="clear" w:color="auto" w:fill="auto"/>
            <w:noWrap/>
            <w:tcMar>
              <w:top w:w="72" w:type="dxa"/>
              <w:left w:w="0" w:type="dxa"/>
              <w:bottom w:w="72" w:type="dxa"/>
              <w:right w:w="0" w:type="dxa"/>
            </w:tcMar>
            <w:hideMark/>
          </w:tcPr>
          <w:p w:rsidR="00AA3990" w:rsidRPr="00AA3990" w:rsidRDefault="00AA3990" w:rsidP="00AA3990">
            <w:pPr>
              <w:widowControl/>
              <w:ind w:right="270"/>
              <w:jc w:val="right"/>
              <w:rPr>
                <w:rFonts w:ascii="標楷體" w:eastAsia="標楷體" w:hAnsi="標楷體" w:cs="新細明體" w:hint="eastAsia"/>
                <w:b/>
                <w:bCs/>
                <w:color w:val="000000" w:themeColor="text1"/>
                <w:kern w:val="0"/>
                <w:sz w:val="32"/>
                <w:szCs w:val="32"/>
              </w:rPr>
            </w:pPr>
            <w:r w:rsidRPr="00AA3990">
              <w:rPr>
                <w:rFonts w:ascii="標楷體" w:eastAsia="標楷體" w:hAnsi="標楷體" w:cs="新細明體" w:hint="eastAsia"/>
                <w:b/>
                <w:bCs/>
                <w:color w:val="000000" w:themeColor="text1"/>
                <w:kern w:val="0"/>
                <w:sz w:val="32"/>
                <w:szCs w:val="32"/>
              </w:rPr>
              <w:t>法規類別：</w:t>
            </w:r>
          </w:p>
        </w:tc>
        <w:tc>
          <w:tcPr>
            <w:tcW w:w="6379" w:type="dxa"/>
            <w:tcBorders>
              <w:top w:val="nil"/>
              <w:left w:val="nil"/>
              <w:bottom w:val="nil"/>
              <w:right w:val="nil"/>
            </w:tcBorders>
            <w:shd w:val="clear" w:color="auto" w:fill="auto"/>
            <w:tcMar>
              <w:top w:w="72" w:type="dxa"/>
              <w:left w:w="0" w:type="dxa"/>
              <w:bottom w:w="72" w:type="dxa"/>
              <w:right w:w="0" w:type="dxa"/>
            </w:tcMar>
            <w:hideMark/>
          </w:tcPr>
          <w:p w:rsidR="00AA3990" w:rsidRPr="00AA3990" w:rsidRDefault="00AA3990" w:rsidP="00AA3990">
            <w:pPr>
              <w:widowControl/>
              <w:rPr>
                <w:rFonts w:ascii="標楷體" w:eastAsia="標楷體" w:hAnsi="標楷體" w:cs="新細明體" w:hint="eastAsia"/>
                <w:color w:val="000000" w:themeColor="text1"/>
                <w:kern w:val="0"/>
                <w:sz w:val="32"/>
                <w:szCs w:val="32"/>
              </w:rPr>
            </w:pPr>
            <w:r w:rsidRPr="00AA3990">
              <w:rPr>
                <w:rFonts w:ascii="標楷體" w:eastAsia="標楷體" w:hAnsi="標楷體" w:cs="新細明體" w:hint="eastAsia"/>
                <w:color w:val="000000" w:themeColor="text1"/>
                <w:kern w:val="0"/>
                <w:sz w:val="32"/>
                <w:szCs w:val="32"/>
              </w:rPr>
              <w:t>行政 ＞ 教育部 ＞ 國民及學前教育目</w:t>
            </w:r>
          </w:p>
        </w:tc>
      </w:tr>
    </w:tbl>
    <w:p w:rsidR="00AA3990" w:rsidRPr="00AA3990" w:rsidRDefault="00AA3990">
      <w:pPr>
        <w:rPr>
          <w:rFonts w:ascii="標楷體" w:eastAsia="標楷體" w:hAnsi="標楷體" w:cs="新細明體"/>
          <w:color w:val="000000" w:themeColor="text1"/>
          <w:kern w:val="0"/>
          <w:sz w:val="28"/>
          <w:szCs w:val="28"/>
        </w:rPr>
      </w:pPr>
    </w:p>
    <w:p w:rsidR="00AA3990" w:rsidRPr="00AA3990" w:rsidRDefault="00AA3990" w:rsidP="00AA3990">
      <w:pPr>
        <w:widowControl/>
        <w:shd w:val="clear" w:color="auto" w:fill="F9FBFB"/>
        <w:spacing w:line="408" w:lineRule="atLeast"/>
        <w:rPr>
          <w:rFonts w:ascii="標楷體" w:eastAsia="標楷體" w:hAnsi="標楷體" w:cs="新細明體"/>
          <w:color w:val="000000" w:themeColor="text1"/>
          <w:kern w:val="0"/>
          <w:sz w:val="28"/>
          <w:szCs w:val="28"/>
        </w:rPr>
      </w:pPr>
      <w:r w:rsidRPr="00AA3990">
        <w:rPr>
          <w:rFonts w:ascii="標楷體" w:eastAsia="標楷體" w:hAnsi="標楷體" w:cs="新細明體" w:hint="eastAsia"/>
          <w:color w:val="000000" w:themeColor="text1"/>
          <w:kern w:val="0"/>
          <w:sz w:val="28"/>
          <w:szCs w:val="28"/>
        </w:rPr>
        <w:t>第 11 條</w:t>
      </w:r>
    </w:p>
    <w:p w:rsidR="00AA3990" w:rsidRPr="00AA3990" w:rsidRDefault="00AA3990" w:rsidP="00AA3990">
      <w:pPr>
        <w:widowControl/>
        <w:shd w:val="clear" w:color="auto" w:fill="F9FBFB"/>
        <w:rPr>
          <w:rFonts w:ascii="標楷體" w:eastAsia="標楷體" w:hAnsi="標楷體" w:cs="新細明體" w:hint="eastAsia"/>
          <w:color w:val="000000" w:themeColor="text1"/>
          <w:kern w:val="0"/>
          <w:sz w:val="28"/>
          <w:szCs w:val="28"/>
        </w:rPr>
      </w:pPr>
      <w:r w:rsidRPr="00AA3990">
        <w:rPr>
          <w:rFonts w:ascii="標楷體" w:eastAsia="標楷體" w:hAnsi="標楷體" w:cs="新細明體" w:hint="eastAsia"/>
          <w:color w:val="000000" w:themeColor="text1"/>
          <w:kern w:val="0"/>
          <w:sz w:val="28"/>
          <w:szCs w:val="28"/>
        </w:rPr>
        <w:t>學校應結合教務、學</w:t>
      </w:r>
      <w:proofErr w:type="gramStart"/>
      <w:r w:rsidRPr="00AA3990">
        <w:rPr>
          <w:rFonts w:ascii="標楷體" w:eastAsia="標楷體" w:hAnsi="標楷體" w:cs="新細明體" w:hint="eastAsia"/>
          <w:color w:val="000000" w:themeColor="text1"/>
          <w:kern w:val="0"/>
          <w:sz w:val="28"/>
          <w:szCs w:val="28"/>
        </w:rPr>
        <w:t>務</w:t>
      </w:r>
      <w:proofErr w:type="gramEnd"/>
      <w:r w:rsidRPr="00AA3990">
        <w:rPr>
          <w:rFonts w:ascii="標楷體" w:eastAsia="標楷體" w:hAnsi="標楷體" w:cs="新細明體" w:hint="eastAsia"/>
          <w:color w:val="000000" w:themeColor="text1"/>
          <w:kern w:val="0"/>
          <w:sz w:val="28"/>
          <w:szCs w:val="28"/>
        </w:rPr>
        <w:t>、輔導相關處室及家長資源，確實掌握學生學習狀況，</w:t>
      </w:r>
      <w:proofErr w:type="gramStart"/>
      <w:r w:rsidRPr="00AA3990">
        <w:rPr>
          <w:rFonts w:ascii="標楷體" w:eastAsia="標楷體" w:hAnsi="標楷體" w:cs="新細明體" w:hint="eastAsia"/>
          <w:color w:val="000000" w:themeColor="text1"/>
          <w:kern w:val="0"/>
          <w:sz w:val="28"/>
          <w:szCs w:val="28"/>
        </w:rPr>
        <w:t>對需予</w:t>
      </w:r>
      <w:proofErr w:type="gramEnd"/>
      <w:r w:rsidRPr="00AA3990">
        <w:rPr>
          <w:rFonts w:ascii="標楷體" w:eastAsia="標楷體" w:hAnsi="標楷體" w:cs="新細明體" w:hint="eastAsia"/>
          <w:color w:val="000000" w:themeColor="text1"/>
          <w:kern w:val="0"/>
          <w:sz w:val="28"/>
          <w:szCs w:val="28"/>
        </w:rPr>
        <w:t>協助者，應訂定並落實預警、輔導措施。</w:t>
      </w:r>
    </w:p>
    <w:p w:rsidR="00AA3990" w:rsidRPr="00AA3990" w:rsidRDefault="00AA3990" w:rsidP="00AA3990">
      <w:pPr>
        <w:widowControl/>
        <w:shd w:val="clear" w:color="auto" w:fill="F9FBFB"/>
        <w:rPr>
          <w:rFonts w:ascii="標楷體" w:eastAsia="標楷體" w:hAnsi="標楷體" w:cs="新細明體" w:hint="eastAsia"/>
          <w:color w:val="000000" w:themeColor="text1"/>
          <w:kern w:val="0"/>
          <w:sz w:val="28"/>
          <w:szCs w:val="28"/>
        </w:rPr>
      </w:pPr>
      <w:r w:rsidRPr="00AA3990">
        <w:rPr>
          <w:rFonts w:ascii="標楷體" w:eastAsia="標楷體" w:hAnsi="標楷體" w:cs="新細明體" w:hint="eastAsia"/>
          <w:color w:val="000000" w:themeColor="text1"/>
          <w:kern w:val="0"/>
          <w:sz w:val="28"/>
          <w:szCs w:val="28"/>
        </w:rPr>
        <w:t>學生學習過程中各領域學習課程及彈性學習課程之成績評量結果未達及格之基準者，學校應實施補救教學及相關補救措施；其實施原則，由直轄市、縣（市）政府定之。</w:t>
      </w:r>
    </w:p>
    <w:p w:rsidR="00AA3990" w:rsidRPr="00AA3990" w:rsidRDefault="00AA3990" w:rsidP="00AA3990">
      <w:pPr>
        <w:widowControl/>
        <w:shd w:val="clear" w:color="auto" w:fill="F9FBFB"/>
        <w:rPr>
          <w:rFonts w:ascii="標楷體" w:eastAsia="標楷體" w:hAnsi="標楷體" w:cs="新細明體" w:hint="eastAsia"/>
          <w:color w:val="000000" w:themeColor="text1"/>
          <w:kern w:val="0"/>
          <w:sz w:val="28"/>
          <w:szCs w:val="28"/>
        </w:rPr>
      </w:pPr>
      <w:r w:rsidRPr="00AA3990">
        <w:rPr>
          <w:rFonts w:ascii="標楷體" w:eastAsia="標楷體" w:hAnsi="標楷體" w:cs="新細明體" w:hint="eastAsia"/>
          <w:color w:val="000000" w:themeColor="text1"/>
          <w:kern w:val="0"/>
          <w:sz w:val="28"/>
          <w:szCs w:val="28"/>
        </w:rPr>
        <w:t>直轄市、縣（市）政府依前項實施補救教學之辦理成效，應</w:t>
      </w:r>
      <w:proofErr w:type="gramStart"/>
      <w:r w:rsidRPr="00AA3990">
        <w:rPr>
          <w:rFonts w:ascii="標楷體" w:eastAsia="標楷體" w:hAnsi="標楷體" w:cs="新細明體" w:hint="eastAsia"/>
          <w:color w:val="000000" w:themeColor="text1"/>
          <w:kern w:val="0"/>
          <w:sz w:val="28"/>
          <w:szCs w:val="28"/>
        </w:rPr>
        <w:t>併</w:t>
      </w:r>
      <w:proofErr w:type="gramEnd"/>
      <w:r w:rsidRPr="00AA3990">
        <w:rPr>
          <w:rFonts w:ascii="標楷體" w:eastAsia="標楷體" w:hAnsi="標楷體" w:cs="新細明體" w:hint="eastAsia"/>
          <w:color w:val="000000" w:themeColor="text1"/>
          <w:kern w:val="0"/>
          <w:sz w:val="28"/>
          <w:szCs w:val="28"/>
        </w:rPr>
        <w:t>同前條第三項國民中小學學生之評量結果，於每學年結束後二</w:t>
      </w:r>
      <w:proofErr w:type="gramStart"/>
      <w:r w:rsidRPr="00AA3990">
        <w:rPr>
          <w:rFonts w:ascii="標楷體" w:eastAsia="標楷體" w:hAnsi="標楷體" w:cs="新細明體" w:hint="eastAsia"/>
          <w:color w:val="000000" w:themeColor="text1"/>
          <w:kern w:val="0"/>
          <w:sz w:val="28"/>
          <w:szCs w:val="28"/>
        </w:rPr>
        <w:t>個</w:t>
      </w:r>
      <w:proofErr w:type="gramEnd"/>
      <w:r w:rsidRPr="00AA3990">
        <w:rPr>
          <w:rFonts w:ascii="標楷體" w:eastAsia="標楷體" w:hAnsi="標楷體" w:cs="新細明體" w:hint="eastAsia"/>
          <w:color w:val="000000" w:themeColor="text1"/>
          <w:kern w:val="0"/>
          <w:sz w:val="28"/>
          <w:szCs w:val="28"/>
        </w:rPr>
        <w:t>月內，報教育部備查。</w:t>
      </w:r>
    </w:p>
    <w:p w:rsidR="00AA3990" w:rsidRPr="00AA3990" w:rsidRDefault="00AA3990" w:rsidP="00AA3990">
      <w:pPr>
        <w:widowControl/>
        <w:shd w:val="clear" w:color="auto" w:fill="F9FBFB"/>
        <w:rPr>
          <w:rFonts w:ascii="標楷體" w:eastAsia="標楷體" w:hAnsi="標楷體" w:cs="新細明體" w:hint="eastAsia"/>
          <w:color w:val="000000" w:themeColor="text1"/>
          <w:kern w:val="0"/>
          <w:sz w:val="28"/>
          <w:szCs w:val="28"/>
        </w:rPr>
      </w:pPr>
      <w:r w:rsidRPr="00AA3990">
        <w:rPr>
          <w:rFonts w:ascii="標楷體" w:eastAsia="標楷體" w:hAnsi="標楷體" w:cs="新細明體" w:hint="eastAsia"/>
          <w:color w:val="000000" w:themeColor="text1"/>
          <w:kern w:val="0"/>
          <w:sz w:val="28"/>
          <w:szCs w:val="28"/>
        </w:rPr>
        <w:t>學生日常生活</w:t>
      </w:r>
      <w:proofErr w:type="gramStart"/>
      <w:r w:rsidRPr="00AA3990">
        <w:rPr>
          <w:rFonts w:ascii="標楷體" w:eastAsia="標楷體" w:hAnsi="標楷體" w:cs="新細明體" w:hint="eastAsia"/>
          <w:color w:val="000000" w:themeColor="text1"/>
          <w:kern w:val="0"/>
          <w:sz w:val="28"/>
          <w:szCs w:val="28"/>
        </w:rPr>
        <w:t>表現需予協助</w:t>
      </w:r>
      <w:proofErr w:type="gramEnd"/>
      <w:r w:rsidRPr="00AA3990">
        <w:rPr>
          <w:rFonts w:ascii="標楷體" w:eastAsia="標楷體" w:hAnsi="標楷體" w:cs="新細明體" w:hint="eastAsia"/>
          <w:color w:val="000000" w:themeColor="text1"/>
          <w:kern w:val="0"/>
          <w:sz w:val="28"/>
          <w:szCs w:val="28"/>
        </w:rPr>
        <w:t>者，學校應依教師輔導及管教學生相關規定施以輔導，並與其法定代理人聯繫，且提供學生改過銷過及功過相抵之機會。</w:t>
      </w:r>
    </w:p>
    <w:p w:rsidR="00AA3990" w:rsidRDefault="00AA3990">
      <w:pPr>
        <w:rPr>
          <w:rFonts w:ascii="細明體" w:eastAsia="細明體" w:hAnsi="細明體" w:cs="新細明體"/>
          <w:color w:val="000000" w:themeColor="text1"/>
          <w:kern w:val="0"/>
          <w:sz w:val="28"/>
          <w:szCs w:val="28"/>
        </w:rPr>
      </w:pPr>
    </w:p>
    <w:p w:rsidR="00AA3990" w:rsidRDefault="00AA3990">
      <w:pPr>
        <w:rPr>
          <w:rFonts w:ascii="標楷體" w:eastAsia="標楷體" w:hAnsi="標楷體" w:cs="新細明體"/>
          <w:b/>
          <w:color w:val="000000" w:themeColor="text1"/>
          <w:kern w:val="0"/>
          <w:sz w:val="28"/>
          <w:szCs w:val="28"/>
        </w:rPr>
      </w:pPr>
      <w:r w:rsidRPr="00AA3990">
        <w:rPr>
          <w:rFonts w:ascii="標楷體" w:eastAsia="標楷體" w:hAnsi="標楷體" w:cs="新細明體" w:hint="eastAsia"/>
          <w:b/>
          <w:color w:val="000000" w:themeColor="text1"/>
          <w:kern w:val="0"/>
          <w:sz w:val="28"/>
          <w:szCs w:val="28"/>
        </w:rPr>
        <w:t>資料引用：全國法規資料庫</w:t>
      </w:r>
      <w:hyperlink r:id="rId4" w:history="1">
        <w:r w:rsidRPr="00FB284F">
          <w:rPr>
            <w:rStyle w:val="a3"/>
            <w:rFonts w:ascii="標楷體" w:eastAsia="標楷體" w:hAnsi="標楷體" w:cs="新細明體"/>
            <w:b/>
            <w:kern w:val="0"/>
            <w:sz w:val="28"/>
            <w:szCs w:val="28"/>
          </w:rPr>
          <w:t>https://law.moj.gov.tw/Index.aspx</w:t>
        </w:r>
      </w:hyperlink>
    </w:p>
    <w:p w:rsidR="00AA3990" w:rsidRPr="00AA3990" w:rsidRDefault="00AA3990">
      <w:pPr>
        <w:rPr>
          <w:rFonts w:ascii="標楷體" w:eastAsia="標楷體" w:hAnsi="標楷體" w:cs="新細明體" w:hint="eastAsia"/>
          <w:b/>
          <w:color w:val="000000" w:themeColor="text1"/>
          <w:kern w:val="0"/>
          <w:sz w:val="28"/>
          <w:szCs w:val="28"/>
        </w:rPr>
      </w:pPr>
    </w:p>
    <w:sectPr w:rsidR="00AA3990" w:rsidRPr="00AA3990" w:rsidSect="00AA399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90"/>
    <w:rsid w:val="003B672A"/>
    <w:rsid w:val="00AA3990"/>
    <w:rsid w:val="00C93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5C6F"/>
  <w15:chartTrackingRefBased/>
  <w15:docId w15:val="{45A55009-BC3C-494D-99F2-FE67CE81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39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1139">
      <w:bodyDiv w:val="1"/>
      <w:marLeft w:val="0"/>
      <w:marRight w:val="0"/>
      <w:marTop w:val="0"/>
      <w:marBottom w:val="0"/>
      <w:divBdr>
        <w:top w:val="none" w:sz="0" w:space="0" w:color="auto"/>
        <w:left w:val="none" w:sz="0" w:space="0" w:color="auto"/>
        <w:bottom w:val="none" w:sz="0" w:space="0" w:color="auto"/>
        <w:right w:val="none" w:sz="0" w:space="0" w:color="auto"/>
      </w:divBdr>
    </w:div>
    <w:div w:id="1643731957">
      <w:bodyDiv w:val="1"/>
      <w:marLeft w:val="0"/>
      <w:marRight w:val="0"/>
      <w:marTop w:val="0"/>
      <w:marBottom w:val="0"/>
      <w:divBdr>
        <w:top w:val="none" w:sz="0" w:space="0" w:color="auto"/>
        <w:left w:val="none" w:sz="0" w:space="0" w:color="auto"/>
        <w:bottom w:val="none" w:sz="0" w:space="0" w:color="auto"/>
        <w:right w:val="none" w:sz="0" w:space="0" w:color="auto"/>
      </w:divBdr>
      <w:divsChild>
        <w:div w:id="2113932659">
          <w:marLeft w:val="0"/>
          <w:marRight w:val="240"/>
          <w:marTop w:val="0"/>
          <w:marBottom w:val="0"/>
          <w:divBdr>
            <w:top w:val="none" w:sz="0" w:space="0" w:color="auto"/>
            <w:left w:val="none" w:sz="0" w:space="0" w:color="auto"/>
            <w:bottom w:val="none" w:sz="0" w:space="0" w:color="auto"/>
            <w:right w:val="none" w:sz="0" w:space="0" w:color="auto"/>
          </w:divBdr>
        </w:div>
        <w:div w:id="1010840839">
          <w:marLeft w:val="0"/>
          <w:marRight w:val="0"/>
          <w:marTop w:val="0"/>
          <w:marBottom w:val="0"/>
          <w:divBdr>
            <w:top w:val="none" w:sz="0" w:space="0" w:color="auto"/>
            <w:left w:val="none" w:sz="0" w:space="0" w:color="auto"/>
            <w:bottom w:val="none" w:sz="0" w:space="0" w:color="auto"/>
            <w:right w:val="none" w:sz="0" w:space="0" w:color="auto"/>
          </w:divBdr>
          <w:divsChild>
            <w:div w:id="60176546">
              <w:marLeft w:val="0"/>
              <w:marRight w:val="0"/>
              <w:marTop w:val="0"/>
              <w:marBottom w:val="0"/>
              <w:divBdr>
                <w:top w:val="none" w:sz="0" w:space="0" w:color="auto"/>
                <w:left w:val="none" w:sz="0" w:space="0" w:color="auto"/>
                <w:bottom w:val="none" w:sz="0" w:space="0" w:color="auto"/>
                <w:right w:val="none" w:sz="0" w:space="0" w:color="auto"/>
              </w:divBdr>
              <w:divsChild>
                <w:div w:id="234123165">
                  <w:marLeft w:val="0"/>
                  <w:marRight w:val="0"/>
                  <w:marTop w:val="0"/>
                  <w:marBottom w:val="120"/>
                  <w:divBdr>
                    <w:top w:val="none" w:sz="0" w:space="0" w:color="auto"/>
                    <w:left w:val="none" w:sz="0" w:space="0" w:color="auto"/>
                    <w:bottom w:val="none" w:sz="0" w:space="0" w:color="auto"/>
                    <w:right w:val="none" w:sz="0" w:space="0" w:color="auto"/>
                  </w:divBdr>
                </w:div>
                <w:div w:id="41637633">
                  <w:marLeft w:val="0"/>
                  <w:marRight w:val="0"/>
                  <w:marTop w:val="0"/>
                  <w:marBottom w:val="120"/>
                  <w:divBdr>
                    <w:top w:val="none" w:sz="0" w:space="0" w:color="auto"/>
                    <w:left w:val="none" w:sz="0" w:space="0" w:color="auto"/>
                    <w:bottom w:val="none" w:sz="0" w:space="0" w:color="auto"/>
                    <w:right w:val="none" w:sz="0" w:space="0" w:color="auto"/>
                  </w:divBdr>
                </w:div>
                <w:div w:id="1427002075">
                  <w:marLeft w:val="0"/>
                  <w:marRight w:val="0"/>
                  <w:marTop w:val="0"/>
                  <w:marBottom w:val="120"/>
                  <w:divBdr>
                    <w:top w:val="none" w:sz="0" w:space="0" w:color="auto"/>
                    <w:left w:val="none" w:sz="0" w:space="0" w:color="auto"/>
                    <w:bottom w:val="none" w:sz="0" w:space="0" w:color="auto"/>
                    <w:right w:val="none" w:sz="0" w:space="0" w:color="auto"/>
                  </w:divBdr>
                </w:div>
                <w:div w:id="11260425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w.moj.gov.t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2022-09-16T00:09:00Z</dcterms:created>
  <dcterms:modified xsi:type="dcterms:W3CDTF">2022-09-16T00:23:00Z</dcterms:modified>
</cp:coreProperties>
</file>