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D2" w:rsidRDefault="00D000D2">
      <w:pPr>
        <w:rPr>
          <w:rFonts w:hint="eastAsia"/>
        </w:rPr>
      </w:pPr>
    </w:p>
    <w:tbl>
      <w:tblPr>
        <w:tblW w:w="5018" w:type="pct"/>
        <w:jc w:val="center"/>
        <w:tblInd w:w="-30" w:type="dxa"/>
        <w:tblBorders>
          <w:top w:val="single" w:sz="6" w:space="0" w:color="3F67A5"/>
          <w:left w:val="single" w:sz="6" w:space="0" w:color="3F67A5"/>
          <w:bottom w:val="single" w:sz="6" w:space="0" w:color="3F67A5"/>
          <w:right w:val="single" w:sz="6" w:space="0" w:color="3F67A5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99"/>
        <w:gridCol w:w="7357"/>
      </w:tblGrid>
      <w:tr w:rsidR="00CD66F2" w:rsidRPr="00CD66F2" w:rsidTr="00CD66F2">
        <w:trPr>
          <w:jc w:val="center"/>
        </w:trPr>
        <w:tc>
          <w:tcPr>
            <w:tcW w:w="650" w:type="pct"/>
            <w:tcBorders>
              <w:top w:val="nil"/>
              <w:left w:val="dotted" w:sz="6" w:space="0" w:color="3F67A5"/>
              <w:bottom w:val="dotted" w:sz="6" w:space="0" w:color="3F67A5"/>
              <w:right w:val="dotted" w:sz="6" w:space="0" w:color="3F67A5"/>
            </w:tcBorders>
            <w:shd w:val="clear" w:color="auto" w:fill="EAF3F8"/>
            <w:noWrap/>
            <w:vAlign w:val="center"/>
            <w:hideMark/>
          </w:tcPr>
          <w:p w:rsidR="00CD66F2" w:rsidRPr="00CD66F2" w:rsidRDefault="00CD66F2" w:rsidP="00CD66F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464646"/>
                <w:kern w:val="0"/>
                <w:sz w:val="23"/>
                <w:szCs w:val="23"/>
              </w:rPr>
            </w:pPr>
            <w:r w:rsidRPr="00CD66F2">
              <w:rPr>
                <w:rFonts w:ascii="新細明體" w:eastAsia="新細明體" w:hAnsi="新細明體" w:cs="新細明體"/>
                <w:b/>
                <w:bCs/>
                <w:color w:val="464646"/>
                <w:kern w:val="0"/>
                <w:sz w:val="23"/>
                <w:szCs w:val="23"/>
              </w:rPr>
              <w:t>名　　稱</w:t>
            </w:r>
          </w:p>
        </w:tc>
        <w:bookmarkStart w:id="0" w:name="_GoBack"/>
        <w:tc>
          <w:tcPr>
            <w:tcW w:w="4350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6F2" w:rsidRPr="00CD66F2" w:rsidRDefault="00CD66F2" w:rsidP="00CD66F2">
            <w:pPr>
              <w:widowControl/>
              <w:spacing w:line="315" w:lineRule="atLeast"/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</w:pPr>
            <w:r w:rsidRPr="00CD66F2"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  <w:fldChar w:fldCharType="begin"/>
            </w:r>
            <w:r w:rsidRPr="00CD66F2"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  <w:instrText xml:space="preserve"> HYPERLINK "http://law.moj.gov.tw/LawClass/LawContentIf.aspx?PCODE=H0080083" </w:instrText>
            </w:r>
            <w:r w:rsidRPr="00CD66F2"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  <w:fldChar w:fldCharType="separate"/>
            </w:r>
            <w:r w:rsidRPr="00CD66F2">
              <w:rPr>
                <w:rFonts w:ascii="新細明體" w:eastAsia="新細明體" w:hAnsi="新細明體" w:cs="新細明體"/>
                <w:color w:val="3366FF"/>
                <w:kern w:val="0"/>
                <w:sz w:val="23"/>
                <w:szCs w:val="23"/>
                <w:u w:val="single"/>
                <w:bdr w:val="none" w:sz="0" w:space="0" w:color="auto" w:frame="1"/>
              </w:rPr>
              <w:t>身心障礙學生考試服務辦法</w:t>
            </w:r>
            <w:r w:rsidRPr="00CD66F2"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  <w:fldChar w:fldCharType="end"/>
            </w:r>
            <w:bookmarkEnd w:id="0"/>
          </w:p>
        </w:tc>
      </w:tr>
      <w:tr w:rsidR="00CD66F2" w:rsidRPr="00CD66F2" w:rsidTr="00CD66F2">
        <w:trPr>
          <w:jc w:val="center"/>
        </w:trPr>
        <w:tc>
          <w:tcPr>
            <w:tcW w:w="650" w:type="pct"/>
            <w:tcBorders>
              <w:top w:val="nil"/>
              <w:left w:val="dotted" w:sz="6" w:space="0" w:color="3F67A5"/>
              <w:bottom w:val="dotted" w:sz="6" w:space="0" w:color="3F67A5"/>
              <w:right w:val="dotted" w:sz="6" w:space="0" w:color="3F67A5"/>
            </w:tcBorders>
            <w:shd w:val="clear" w:color="auto" w:fill="EAF3F8"/>
            <w:noWrap/>
            <w:vAlign w:val="center"/>
            <w:hideMark/>
          </w:tcPr>
          <w:p w:rsidR="00CD66F2" w:rsidRPr="00CD66F2" w:rsidRDefault="00CD66F2" w:rsidP="00CD66F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464646"/>
                <w:kern w:val="0"/>
                <w:sz w:val="23"/>
                <w:szCs w:val="23"/>
              </w:rPr>
            </w:pPr>
            <w:r w:rsidRPr="00CD66F2">
              <w:rPr>
                <w:rFonts w:ascii="新細明體" w:eastAsia="新細明體" w:hAnsi="新細明體" w:cs="新細明體"/>
                <w:b/>
                <w:bCs/>
                <w:color w:val="464646"/>
                <w:kern w:val="0"/>
                <w:sz w:val="23"/>
                <w:szCs w:val="23"/>
                <w:bdr w:val="none" w:sz="0" w:space="0" w:color="auto" w:frame="1"/>
              </w:rPr>
              <w:t>發布日期</w:t>
            </w:r>
          </w:p>
        </w:tc>
        <w:tc>
          <w:tcPr>
            <w:tcW w:w="4350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6F2" w:rsidRPr="00CD66F2" w:rsidRDefault="00CD66F2" w:rsidP="00CD66F2">
            <w:pPr>
              <w:widowControl/>
              <w:spacing w:line="315" w:lineRule="atLeast"/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</w:pPr>
            <w:r w:rsidRPr="00CD66F2"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民國 101 年 07 月 24 日</w:t>
            </w:r>
          </w:p>
        </w:tc>
      </w:tr>
      <w:tr w:rsidR="00CD66F2" w:rsidRPr="00CD66F2" w:rsidTr="00CD66F2">
        <w:trPr>
          <w:jc w:val="center"/>
        </w:trPr>
        <w:tc>
          <w:tcPr>
            <w:tcW w:w="0" w:type="auto"/>
            <w:tcBorders>
              <w:top w:val="nil"/>
              <w:left w:val="dotted" w:sz="6" w:space="0" w:color="3F67A5"/>
              <w:bottom w:val="dotted" w:sz="6" w:space="0" w:color="3F67A5"/>
              <w:right w:val="dotted" w:sz="6" w:space="0" w:color="3F67A5"/>
            </w:tcBorders>
            <w:shd w:val="clear" w:color="auto" w:fill="EAF3F8"/>
            <w:noWrap/>
            <w:vAlign w:val="center"/>
            <w:hideMark/>
          </w:tcPr>
          <w:p w:rsidR="00CD66F2" w:rsidRPr="00CD66F2" w:rsidRDefault="00CD66F2" w:rsidP="00CD66F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464646"/>
                <w:kern w:val="0"/>
                <w:sz w:val="23"/>
                <w:szCs w:val="23"/>
              </w:rPr>
            </w:pPr>
            <w:r w:rsidRPr="00CD66F2">
              <w:rPr>
                <w:rFonts w:ascii="新細明體" w:eastAsia="新細明體" w:hAnsi="新細明體" w:cs="新細明體"/>
                <w:b/>
                <w:bCs/>
                <w:color w:val="464646"/>
                <w:kern w:val="0"/>
                <w:sz w:val="23"/>
                <w:szCs w:val="23"/>
              </w:rPr>
              <w:t>法規類別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D66F2" w:rsidRPr="00CD66F2" w:rsidRDefault="00CD66F2" w:rsidP="00CD66F2">
            <w:pPr>
              <w:widowControl/>
              <w:spacing w:line="315" w:lineRule="atLeast"/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</w:pPr>
            <w:r w:rsidRPr="00CD66F2"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  <w:t>行政 ＞ 教育部 ＞ 學生事務及特殊教育目</w:t>
            </w:r>
          </w:p>
        </w:tc>
      </w:tr>
      <w:tr w:rsidR="00CD66F2" w:rsidRPr="00CD66F2" w:rsidTr="00CD66F2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tbl>
            <w:tblPr>
              <w:tblW w:w="4250" w:type="pct"/>
              <w:jc w:val="center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110"/>
              <w:gridCol w:w="270"/>
              <w:gridCol w:w="5680"/>
            </w:tblGrid>
            <w:tr w:rsidR="00CD66F2" w:rsidRPr="00CD66F2">
              <w:trPr>
                <w:jc w:val="center"/>
              </w:trPr>
              <w:tc>
                <w:tcPr>
                  <w:tcW w:w="600" w:type="pct"/>
                  <w:tcBorders>
                    <w:top w:val="nil"/>
                    <w:left w:val="nil"/>
                    <w:bottom w:val="dotted" w:sz="6" w:space="0" w:color="3F67A5"/>
                    <w:right w:val="nil"/>
                  </w:tcBorders>
                  <w:noWrap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66F2" w:rsidRPr="00CD66F2" w:rsidRDefault="00CD66F2" w:rsidP="00CD66F2">
                  <w:pPr>
                    <w:widowControl/>
                    <w:spacing w:line="315" w:lineRule="atLeast"/>
                    <w:rPr>
                      <w:rFonts w:ascii="細明體" w:eastAsia="細明體" w:hAnsi="細明體" w:cs="新細明體"/>
                      <w:kern w:val="0"/>
                      <w:szCs w:val="24"/>
                    </w:rPr>
                  </w:pPr>
                  <w:hyperlink r:id="rId5" w:history="1">
                    <w:r w:rsidRPr="00CD66F2">
                      <w:rPr>
                        <w:rFonts w:ascii="細明體" w:eastAsia="細明體" w:hAnsi="細明體" w:cs="新細明體" w:hint="eastAsia"/>
                        <w:color w:val="3366FF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第 1 條</w:t>
                    </w:r>
                  </w:hyperlink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dotted" w:sz="6" w:space="0" w:color="3F67A5"/>
                    <w:right w:val="nil"/>
                  </w:tcBorders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66F2" w:rsidRPr="00CD66F2" w:rsidRDefault="00CD66F2" w:rsidP="00CD66F2">
                  <w:pPr>
                    <w:widowControl/>
                    <w:spacing w:line="315" w:lineRule="atLeast"/>
                    <w:rPr>
                      <w:rFonts w:ascii="細明體" w:eastAsia="細明體" w:hAnsi="細明體" w:cs="新細明體"/>
                      <w:kern w:val="0"/>
                      <w:szCs w:val="24"/>
                    </w:rPr>
                  </w:pPr>
                  <w:r w:rsidRPr="00CD66F2">
                    <w:rPr>
                      <w:rFonts w:ascii="細明體" w:eastAsia="細明體" w:hAnsi="細明體" w:cs="新細明體" w:hint="eastAsia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4200" w:type="pct"/>
                  <w:tcBorders>
                    <w:top w:val="nil"/>
                    <w:left w:val="nil"/>
                    <w:bottom w:val="dotted" w:sz="6" w:space="0" w:color="3F67A5"/>
                    <w:right w:val="nil"/>
                  </w:tcBorders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66F2" w:rsidRPr="00CD66F2" w:rsidRDefault="00CD66F2" w:rsidP="00CD66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15" w:lineRule="atLeast"/>
                    <w:rPr>
                      <w:rFonts w:ascii="細明體" w:eastAsia="細明體" w:hAnsi="細明體" w:cs="細明體"/>
                      <w:kern w:val="0"/>
                      <w:sz w:val="23"/>
                      <w:szCs w:val="23"/>
                    </w:rPr>
                  </w:pPr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本辦法依特殊教育法第二十二條第二項規定訂定之。</w:t>
                  </w:r>
                </w:p>
              </w:tc>
            </w:tr>
            <w:tr w:rsidR="00CD66F2" w:rsidRPr="00CD66F2">
              <w:trPr>
                <w:jc w:val="center"/>
              </w:trPr>
              <w:tc>
                <w:tcPr>
                  <w:tcW w:w="600" w:type="pct"/>
                  <w:tcBorders>
                    <w:top w:val="nil"/>
                    <w:left w:val="nil"/>
                    <w:bottom w:val="dotted" w:sz="6" w:space="0" w:color="3F67A5"/>
                    <w:right w:val="nil"/>
                  </w:tcBorders>
                  <w:noWrap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66F2" w:rsidRPr="00CD66F2" w:rsidRDefault="00CD66F2" w:rsidP="00CD66F2">
                  <w:pPr>
                    <w:widowControl/>
                    <w:spacing w:line="315" w:lineRule="atLeast"/>
                    <w:rPr>
                      <w:rFonts w:ascii="細明體" w:eastAsia="細明體" w:hAnsi="細明體" w:cs="新細明體"/>
                      <w:kern w:val="0"/>
                      <w:szCs w:val="24"/>
                    </w:rPr>
                  </w:pPr>
                  <w:hyperlink r:id="rId6" w:history="1">
                    <w:r w:rsidRPr="00CD66F2">
                      <w:rPr>
                        <w:rFonts w:ascii="細明體" w:eastAsia="細明體" w:hAnsi="細明體" w:cs="新細明體" w:hint="eastAsia"/>
                        <w:color w:val="3366FF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第 2 條</w:t>
                    </w:r>
                  </w:hyperlink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dotted" w:sz="6" w:space="0" w:color="3F67A5"/>
                    <w:right w:val="nil"/>
                  </w:tcBorders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66F2" w:rsidRPr="00CD66F2" w:rsidRDefault="00CD66F2" w:rsidP="00CD66F2">
                  <w:pPr>
                    <w:widowControl/>
                    <w:spacing w:line="315" w:lineRule="atLeast"/>
                    <w:rPr>
                      <w:rFonts w:ascii="細明體" w:eastAsia="細明體" w:hAnsi="細明體" w:cs="新細明體"/>
                      <w:kern w:val="0"/>
                      <w:szCs w:val="24"/>
                    </w:rPr>
                  </w:pPr>
                  <w:r w:rsidRPr="00CD66F2">
                    <w:rPr>
                      <w:rFonts w:ascii="細明體" w:eastAsia="細明體" w:hAnsi="細明體" w:cs="新細明體" w:hint="eastAsia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4200" w:type="pct"/>
                  <w:tcBorders>
                    <w:top w:val="nil"/>
                    <w:left w:val="nil"/>
                    <w:bottom w:val="dotted" w:sz="6" w:space="0" w:color="3F67A5"/>
                    <w:right w:val="nil"/>
                  </w:tcBorders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66F2" w:rsidRPr="00CD66F2" w:rsidRDefault="00CD66F2" w:rsidP="00CD66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15" w:lineRule="atLeast"/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</w:pPr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各級學校及試</w:t>
                  </w:r>
                  <w:proofErr w:type="gramStart"/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務</w:t>
                  </w:r>
                  <w:proofErr w:type="gramEnd"/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單位公開辦理各教育階段入學相關之各種考試，應依本辦</w:t>
                  </w:r>
                </w:p>
                <w:p w:rsidR="00CD66F2" w:rsidRPr="00CD66F2" w:rsidRDefault="00CD66F2" w:rsidP="00CD66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15" w:lineRule="atLeast"/>
                    <w:rPr>
                      <w:rFonts w:ascii="細明體" w:eastAsia="細明體" w:hAnsi="細明體" w:cs="細明體"/>
                      <w:kern w:val="0"/>
                      <w:sz w:val="23"/>
                      <w:szCs w:val="23"/>
                    </w:rPr>
                  </w:pPr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法之規定提供身心障礙學生考試服務（以下簡稱考試服務）。</w:t>
                  </w:r>
                </w:p>
              </w:tc>
            </w:tr>
            <w:tr w:rsidR="00CD66F2" w:rsidRPr="00CD66F2">
              <w:trPr>
                <w:jc w:val="center"/>
              </w:trPr>
              <w:tc>
                <w:tcPr>
                  <w:tcW w:w="600" w:type="pct"/>
                  <w:tcBorders>
                    <w:top w:val="nil"/>
                    <w:left w:val="nil"/>
                    <w:bottom w:val="dotted" w:sz="6" w:space="0" w:color="3F67A5"/>
                    <w:right w:val="nil"/>
                  </w:tcBorders>
                  <w:noWrap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66F2" w:rsidRPr="00CD66F2" w:rsidRDefault="00CD66F2" w:rsidP="00CD66F2">
                  <w:pPr>
                    <w:widowControl/>
                    <w:spacing w:line="315" w:lineRule="atLeast"/>
                    <w:rPr>
                      <w:rFonts w:ascii="細明體" w:eastAsia="細明體" w:hAnsi="細明體" w:cs="新細明體"/>
                      <w:kern w:val="0"/>
                      <w:szCs w:val="24"/>
                    </w:rPr>
                  </w:pPr>
                  <w:hyperlink r:id="rId7" w:history="1">
                    <w:r w:rsidRPr="00CD66F2">
                      <w:rPr>
                        <w:rFonts w:ascii="細明體" w:eastAsia="細明體" w:hAnsi="細明體" w:cs="新細明體" w:hint="eastAsia"/>
                        <w:color w:val="3366FF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第 3 條</w:t>
                    </w:r>
                  </w:hyperlink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dotted" w:sz="6" w:space="0" w:color="3F67A5"/>
                    <w:right w:val="nil"/>
                  </w:tcBorders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66F2" w:rsidRPr="00CD66F2" w:rsidRDefault="00CD66F2" w:rsidP="00CD66F2">
                  <w:pPr>
                    <w:widowControl/>
                    <w:spacing w:line="315" w:lineRule="atLeast"/>
                    <w:rPr>
                      <w:rFonts w:ascii="細明體" w:eastAsia="細明體" w:hAnsi="細明體" w:cs="新細明體"/>
                      <w:kern w:val="0"/>
                      <w:szCs w:val="24"/>
                    </w:rPr>
                  </w:pPr>
                  <w:r w:rsidRPr="00CD66F2">
                    <w:rPr>
                      <w:rFonts w:ascii="細明體" w:eastAsia="細明體" w:hAnsi="細明體" w:cs="新細明體" w:hint="eastAsia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4200" w:type="pct"/>
                  <w:tcBorders>
                    <w:top w:val="nil"/>
                    <w:left w:val="nil"/>
                    <w:bottom w:val="dotted" w:sz="6" w:space="0" w:color="3F67A5"/>
                    <w:right w:val="nil"/>
                  </w:tcBorders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66F2" w:rsidRPr="00CD66F2" w:rsidRDefault="00CD66F2" w:rsidP="00CD66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15" w:lineRule="atLeast"/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</w:pPr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本辦法所稱身心障礙學生，指符合下列規定之</w:t>
                  </w:r>
                  <w:proofErr w:type="gramStart"/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一</w:t>
                  </w:r>
                  <w:proofErr w:type="gramEnd"/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者：</w:t>
                  </w:r>
                </w:p>
                <w:p w:rsidR="00CD66F2" w:rsidRPr="00CD66F2" w:rsidRDefault="00CD66F2" w:rsidP="00CD66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15" w:lineRule="atLeast"/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</w:pPr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一、經各級主管機關特殊教育學生鑑定及就學輔導會鑑定為身心障礙。</w:t>
                  </w:r>
                </w:p>
                <w:p w:rsidR="00CD66F2" w:rsidRPr="00CD66F2" w:rsidRDefault="00CD66F2" w:rsidP="00CD66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15" w:lineRule="atLeast"/>
                    <w:rPr>
                      <w:rFonts w:ascii="細明體" w:eastAsia="細明體" w:hAnsi="細明體" w:cs="細明體"/>
                      <w:kern w:val="0"/>
                      <w:sz w:val="23"/>
                      <w:szCs w:val="23"/>
                    </w:rPr>
                  </w:pPr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二、領有身心障礙手冊或證明。</w:t>
                  </w:r>
                </w:p>
              </w:tc>
            </w:tr>
            <w:tr w:rsidR="00CD66F2" w:rsidRPr="00CD66F2">
              <w:trPr>
                <w:jc w:val="center"/>
              </w:trPr>
              <w:tc>
                <w:tcPr>
                  <w:tcW w:w="600" w:type="pct"/>
                  <w:tcBorders>
                    <w:top w:val="nil"/>
                    <w:left w:val="nil"/>
                    <w:bottom w:val="dotted" w:sz="6" w:space="0" w:color="3F67A5"/>
                    <w:right w:val="nil"/>
                  </w:tcBorders>
                  <w:noWrap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66F2" w:rsidRPr="00CD66F2" w:rsidRDefault="00CD66F2" w:rsidP="00CD66F2">
                  <w:pPr>
                    <w:widowControl/>
                    <w:spacing w:line="315" w:lineRule="atLeast"/>
                    <w:rPr>
                      <w:rFonts w:ascii="細明體" w:eastAsia="細明體" w:hAnsi="細明體" w:cs="新細明體"/>
                      <w:kern w:val="0"/>
                      <w:szCs w:val="24"/>
                    </w:rPr>
                  </w:pPr>
                  <w:hyperlink r:id="rId8" w:history="1">
                    <w:r w:rsidRPr="00CD66F2">
                      <w:rPr>
                        <w:rFonts w:ascii="細明體" w:eastAsia="細明體" w:hAnsi="細明體" w:cs="新細明體" w:hint="eastAsia"/>
                        <w:color w:val="3366FF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第 4 條</w:t>
                    </w:r>
                  </w:hyperlink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dotted" w:sz="6" w:space="0" w:color="3F67A5"/>
                    <w:right w:val="nil"/>
                  </w:tcBorders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66F2" w:rsidRPr="00CD66F2" w:rsidRDefault="00CD66F2" w:rsidP="00CD66F2">
                  <w:pPr>
                    <w:widowControl/>
                    <w:spacing w:line="315" w:lineRule="atLeast"/>
                    <w:rPr>
                      <w:rFonts w:ascii="細明體" w:eastAsia="細明體" w:hAnsi="細明體" w:cs="新細明體"/>
                      <w:kern w:val="0"/>
                      <w:szCs w:val="24"/>
                    </w:rPr>
                  </w:pPr>
                  <w:r w:rsidRPr="00CD66F2">
                    <w:rPr>
                      <w:rFonts w:ascii="細明體" w:eastAsia="細明體" w:hAnsi="細明體" w:cs="新細明體" w:hint="eastAsia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4200" w:type="pct"/>
                  <w:tcBorders>
                    <w:top w:val="nil"/>
                    <w:left w:val="nil"/>
                    <w:bottom w:val="dotted" w:sz="6" w:space="0" w:color="3F67A5"/>
                    <w:right w:val="nil"/>
                  </w:tcBorders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66F2" w:rsidRPr="00CD66F2" w:rsidRDefault="00CD66F2" w:rsidP="00CD66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15" w:lineRule="atLeast"/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</w:pPr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考試服務之提供，應以達成該項考試目的為原則。各級學校及試</w:t>
                  </w:r>
                  <w:proofErr w:type="gramStart"/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務</w:t>
                  </w:r>
                  <w:proofErr w:type="gramEnd"/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單位應</w:t>
                  </w:r>
                </w:p>
                <w:p w:rsidR="00CD66F2" w:rsidRPr="00CD66F2" w:rsidRDefault="00CD66F2" w:rsidP="00CD66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15" w:lineRule="atLeast"/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</w:pPr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依身心障礙考生（以下簡稱考生）障礙類別、程度及需求，提供考試服務</w:t>
                  </w:r>
                </w:p>
                <w:p w:rsidR="00CD66F2" w:rsidRPr="00CD66F2" w:rsidRDefault="00CD66F2" w:rsidP="00CD66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15" w:lineRule="atLeast"/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</w:pPr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。</w:t>
                  </w:r>
                </w:p>
                <w:p w:rsidR="00CD66F2" w:rsidRPr="00CD66F2" w:rsidRDefault="00CD66F2" w:rsidP="00CD66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15" w:lineRule="atLeast"/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</w:pPr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前項考試服務，應由考生向各級學校及試</w:t>
                  </w:r>
                  <w:proofErr w:type="gramStart"/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務</w:t>
                  </w:r>
                  <w:proofErr w:type="gramEnd"/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單位提出申請，經審查後通知</w:t>
                  </w:r>
                </w:p>
                <w:p w:rsidR="00CD66F2" w:rsidRPr="00CD66F2" w:rsidRDefault="00CD66F2" w:rsidP="00CD66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15" w:lineRule="atLeast"/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</w:pPr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考生審查結果，考生對審查結果不服得提出申訴。</w:t>
                  </w:r>
                </w:p>
                <w:p w:rsidR="00CD66F2" w:rsidRPr="00CD66F2" w:rsidRDefault="00CD66F2" w:rsidP="00CD66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15" w:lineRule="atLeast"/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</w:pPr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各級學校及試</w:t>
                  </w:r>
                  <w:proofErr w:type="gramStart"/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務</w:t>
                  </w:r>
                  <w:proofErr w:type="gramEnd"/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單位，應邀集身心障礙相關領域之學者專家、特殊教育相</w:t>
                  </w:r>
                </w:p>
                <w:p w:rsidR="00CD66F2" w:rsidRPr="00CD66F2" w:rsidRDefault="00CD66F2" w:rsidP="00CD66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15" w:lineRule="atLeast"/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</w:pPr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關專業人員及其他相關人員審查前項申請案。</w:t>
                  </w:r>
                </w:p>
                <w:p w:rsidR="00CD66F2" w:rsidRPr="00CD66F2" w:rsidRDefault="00CD66F2" w:rsidP="00CD66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15" w:lineRule="atLeast"/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</w:pPr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前三項考試服務內容、申請程序及應檢附之相關資料、審查方式及原則、</w:t>
                  </w:r>
                </w:p>
                <w:p w:rsidR="00CD66F2" w:rsidRPr="00CD66F2" w:rsidRDefault="00CD66F2" w:rsidP="00CD66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15" w:lineRule="atLeast"/>
                    <w:rPr>
                      <w:rFonts w:ascii="細明體" w:eastAsia="細明體" w:hAnsi="細明體" w:cs="細明體"/>
                      <w:kern w:val="0"/>
                      <w:sz w:val="23"/>
                      <w:szCs w:val="23"/>
                    </w:rPr>
                  </w:pPr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審查結果通知及申訴程序等事項，應於簡章中載明。</w:t>
                  </w:r>
                </w:p>
              </w:tc>
            </w:tr>
            <w:tr w:rsidR="00CD66F2" w:rsidRPr="00CD66F2">
              <w:trPr>
                <w:jc w:val="center"/>
              </w:trPr>
              <w:tc>
                <w:tcPr>
                  <w:tcW w:w="600" w:type="pct"/>
                  <w:tcBorders>
                    <w:top w:val="nil"/>
                    <w:left w:val="nil"/>
                    <w:bottom w:val="dotted" w:sz="6" w:space="0" w:color="3F67A5"/>
                    <w:right w:val="nil"/>
                  </w:tcBorders>
                  <w:noWrap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66F2" w:rsidRPr="00CD66F2" w:rsidRDefault="00CD66F2" w:rsidP="00CD66F2">
                  <w:pPr>
                    <w:widowControl/>
                    <w:spacing w:line="315" w:lineRule="atLeast"/>
                    <w:rPr>
                      <w:rFonts w:ascii="細明體" w:eastAsia="細明體" w:hAnsi="細明體" w:cs="新細明體"/>
                      <w:kern w:val="0"/>
                      <w:szCs w:val="24"/>
                    </w:rPr>
                  </w:pPr>
                  <w:hyperlink r:id="rId9" w:history="1">
                    <w:r w:rsidRPr="00CD66F2">
                      <w:rPr>
                        <w:rFonts w:ascii="細明體" w:eastAsia="細明體" w:hAnsi="細明體" w:cs="新細明體" w:hint="eastAsia"/>
                        <w:color w:val="3366FF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第 5 條</w:t>
                    </w:r>
                  </w:hyperlink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dotted" w:sz="6" w:space="0" w:color="3F67A5"/>
                    <w:right w:val="nil"/>
                  </w:tcBorders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66F2" w:rsidRPr="00CD66F2" w:rsidRDefault="00CD66F2" w:rsidP="00CD66F2">
                  <w:pPr>
                    <w:widowControl/>
                    <w:spacing w:line="315" w:lineRule="atLeast"/>
                    <w:rPr>
                      <w:rFonts w:ascii="細明體" w:eastAsia="細明體" w:hAnsi="細明體" w:cs="新細明體"/>
                      <w:kern w:val="0"/>
                      <w:szCs w:val="24"/>
                    </w:rPr>
                  </w:pPr>
                  <w:r w:rsidRPr="00CD66F2">
                    <w:rPr>
                      <w:rFonts w:ascii="細明體" w:eastAsia="細明體" w:hAnsi="細明體" w:cs="新細明體" w:hint="eastAsia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4200" w:type="pct"/>
                  <w:tcBorders>
                    <w:top w:val="nil"/>
                    <w:left w:val="nil"/>
                    <w:bottom w:val="dotted" w:sz="6" w:space="0" w:color="3F67A5"/>
                    <w:right w:val="nil"/>
                  </w:tcBorders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66F2" w:rsidRPr="00CD66F2" w:rsidRDefault="00CD66F2" w:rsidP="00CD66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15" w:lineRule="atLeast"/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</w:pPr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考試</w:t>
                  </w:r>
                  <w:proofErr w:type="gramStart"/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服務應衡酌</w:t>
                  </w:r>
                  <w:proofErr w:type="gramEnd"/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考生之考試科目特性、學習優勢管道及個別需求，提供</w:t>
                  </w:r>
                  <w:proofErr w:type="gramStart"/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適</w:t>
                  </w:r>
                  <w:proofErr w:type="gramEnd"/>
                </w:p>
                <w:p w:rsidR="00CD66F2" w:rsidRPr="00CD66F2" w:rsidRDefault="00CD66F2" w:rsidP="00CD66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15" w:lineRule="atLeast"/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</w:pPr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當之試場服務、輔具服務、試題（卷）調整服務、作答方式調整服務及其</w:t>
                  </w:r>
                </w:p>
                <w:p w:rsidR="00CD66F2" w:rsidRPr="00CD66F2" w:rsidRDefault="00CD66F2" w:rsidP="00CD66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15" w:lineRule="atLeast"/>
                    <w:rPr>
                      <w:rFonts w:ascii="細明體" w:eastAsia="細明體" w:hAnsi="細明體" w:cs="細明體"/>
                      <w:kern w:val="0"/>
                      <w:sz w:val="23"/>
                      <w:szCs w:val="23"/>
                    </w:rPr>
                  </w:pPr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他必要之服務。</w:t>
                  </w:r>
                </w:p>
              </w:tc>
            </w:tr>
            <w:tr w:rsidR="00CD66F2" w:rsidRPr="00CD66F2">
              <w:trPr>
                <w:jc w:val="center"/>
              </w:trPr>
              <w:tc>
                <w:tcPr>
                  <w:tcW w:w="600" w:type="pct"/>
                  <w:tcBorders>
                    <w:top w:val="nil"/>
                    <w:left w:val="nil"/>
                    <w:bottom w:val="dotted" w:sz="6" w:space="0" w:color="3F67A5"/>
                    <w:right w:val="nil"/>
                  </w:tcBorders>
                  <w:noWrap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66F2" w:rsidRPr="00CD66F2" w:rsidRDefault="00CD66F2" w:rsidP="00CD66F2">
                  <w:pPr>
                    <w:widowControl/>
                    <w:spacing w:line="315" w:lineRule="atLeast"/>
                    <w:rPr>
                      <w:rFonts w:ascii="細明體" w:eastAsia="細明體" w:hAnsi="細明體" w:cs="新細明體"/>
                      <w:kern w:val="0"/>
                      <w:szCs w:val="24"/>
                    </w:rPr>
                  </w:pPr>
                  <w:hyperlink r:id="rId10" w:history="1">
                    <w:r w:rsidRPr="00CD66F2">
                      <w:rPr>
                        <w:rFonts w:ascii="細明體" w:eastAsia="細明體" w:hAnsi="細明體" w:cs="新細明體" w:hint="eastAsia"/>
                        <w:color w:val="3366FF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第 6 條</w:t>
                    </w:r>
                  </w:hyperlink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dotted" w:sz="6" w:space="0" w:color="3F67A5"/>
                    <w:right w:val="nil"/>
                  </w:tcBorders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66F2" w:rsidRPr="00CD66F2" w:rsidRDefault="00CD66F2" w:rsidP="00CD66F2">
                  <w:pPr>
                    <w:widowControl/>
                    <w:spacing w:line="315" w:lineRule="atLeast"/>
                    <w:rPr>
                      <w:rFonts w:ascii="細明體" w:eastAsia="細明體" w:hAnsi="細明體" w:cs="新細明體"/>
                      <w:kern w:val="0"/>
                      <w:szCs w:val="24"/>
                    </w:rPr>
                  </w:pPr>
                  <w:r w:rsidRPr="00CD66F2">
                    <w:rPr>
                      <w:rFonts w:ascii="細明體" w:eastAsia="細明體" w:hAnsi="細明體" w:cs="新細明體" w:hint="eastAsia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4200" w:type="pct"/>
                  <w:tcBorders>
                    <w:top w:val="nil"/>
                    <w:left w:val="nil"/>
                    <w:bottom w:val="dotted" w:sz="6" w:space="0" w:color="3F67A5"/>
                    <w:right w:val="nil"/>
                  </w:tcBorders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66F2" w:rsidRPr="00CD66F2" w:rsidRDefault="00CD66F2" w:rsidP="00CD66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15" w:lineRule="atLeast"/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</w:pPr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前條所定試場服務如下：</w:t>
                  </w:r>
                </w:p>
                <w:p w:rsidR="00CD66F2" w:rsidRPr="00CD66F2" w:rsidRDefault="00CD66F2" w:rsidP="00CD66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15" w:lineRule="atLeast"/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</w:pPr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一、調整考試時間：包括提早入場或延長作答時間。</w:t>
                  </w:r>
                </w:p>
                <w:p w:rsidR="00CD66F2" w:rsidRPr="00CD66F2" w:rsidRDefault="00CD66F2" w:rsidP="00CD66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15" w:lineRule="atLeast"/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</w:pPr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二、提供無障礙試場環境：包括無障礙環境、地面樓層或設有</w:t>
                  </w:r>
                  <w:proofErr w:type="gramStart"/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昇</w:t>
                  </w:r>
                  <w:proofErr w:type="gramEnd"/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降設備之</w:t>
                  </w:r>
                </w:p>
                <w:p w:rsidR="00CD66F2" w:rsidRPr="00CD66F2" w:rsidRDefault="00CD66F2" w:rsidP="00CD66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15" w:lineRule="atLeast"/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</w:pPr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lastRenderedPageBreak/>
                    <w:t xml:space="preserve">    試場。</w:t>
                  </w:r>
                </w:p>
                <w:p w:rsidR="00CD66F2" w:rsidRPr="00CD66F2" w:rsidRDefault="00CD66F2" w:rsidP="00CD66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15" w:lineRule="atLeast"/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</w:pPr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三、提供提醒服務：包括視覺或聽覺提醒、手語翻譯或板書注意事項說明</w:t>
                  </w:r>
                </w:p>
                <w:p w:rsidR="00CD66F2" w:rsidRPr="00CD66F2" w:rsidRDefault="00CD66F2" w:rsidP="00CD66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15" w:lineRule="atLeast"/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</w:pPr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 xml:space="preserve">    。</w:t>
                  </w:r>
                </w:p>
                <w:p w:rsidR="00CD66F2" w:rsidRPr="00CD66F2" w:rsidRDefault="00CD66F2" w:rsidP="00CD66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15" w:lineRule="atLeast"/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</w:pPr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四、提供特殊試場：包括單人、少數人或設有空調設備等試場。</w:t>
                  </w:r>
                </w:p>
                <w:p w:rsidR="00CD66F2" w:rsidRPr="00CD66F2" w:rsidRDefault="00CD66F2" w:rsidP="00CD66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15" w:lineRule="atLeast"/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</w:pPr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專為身心障礙學生辦理之考試，於安排試場考生人數時，應考量考生所需</w:t>
                  </w:r>
                </w:p>
                <w:p w:rsidR="00CD66F2" w:rsidRPr="00CD66F2" w:rsidRDefault="00CD66F2" w:rsidP="00CD66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15" w:lineRule="atLeast"/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</w:pPr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之適當空間，一般試場考生人數不得超過三十人。考生對試場空間有特殊</w:t>
                  </w:r>
                </w:p>
                <w:p w:rsidR="00CD66F2" w:rsidRPr="00CD66F2" w:rsidRDefault="00CD66F2" w:rsidP="00CD66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15" w:lineRule="atLeast"/>
                    <w:rPr>
                      <w:rFonts w:ascii="細明體" w:eastAsia="細明體" w:hAnsi="細明體" w:cs="細明體"/>
                      <w:kern w:val="0"/>
                      <w:sz w:val="23"/>
                      <w:szCs w:val="23"/>
                    </w:rPr>
                  </w:pPr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需求者，應另依第四條規定提出申請。</w:t>
                  </w:r>
                </w:p>
              </w:tc>
            </w:tr>
            <w:tr w:rsidR="00CD66F2" w:rsidRPr="00CD66F2">
              <w:trPr>
                <w:jc w:val="center"/>
              </w:trPr>
              <w:tc>
                <w:tcPr>
                  <w:tcW w:w="600" w:type="pct"/>
                  <w:tcBorders>
                    <w:top w:val="nil"/>
                    <w:left w:val="nil"/>
                    <w:bottom w:val="dotted" w:sz="6" w:space="0" w:color="3F67A5"/>
                    <w:right w:val="nil"/>
                  </w:tcBorders>
                  <w:noWrap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66F2" w:rsidRPr="00CD66F2" w:rsidRDefault="00CD66F2" w:rsidP="00CD66F2">
                  <w:pPr>
                    <w:widowControl/>
                    <w:spacing w:line="315" w:lineRule="atLeast"/>
                    <w:rPr>
                      <w:rFonts w:ascii="細明體" w:eastAsia="細明體" w:hAnsi="細明體" w:cs="新細明體"/>
                      <w:kern w:val="0"/>
                      <w:szCs w:val="24"/>
                    </w:rPr>
                  </w:pPr>
                  <w:hyperlink r:id="rId11" w:history="1">
                    <w:r w:rsidRPr="00CD66F2">
                      <w:rPr>
                        <w:rFonts w:ascii="細明體" w:eastAsia="細明體" w:hAnsi="細明體" w:cs="新細明體" w:hint="eastAsia"/>
                        <w:color w:val="3366FF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第 7 條</w:t>
                    </w:r>
                  </w:hyperlink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dotted" w:sz="6" w:space="0" w:color="3F67A5"/>
                    <w:right w:val="nil"/>
                  </w:tcBorders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66F2" w:rsidRPr="00CD66F2" w:rsidRDefault="00CD66F2" w:rsidP="00CD66F2">
                  <w:pPr>
                    <w:widowControl/>
                    <w:spacing w:line="315" w:lineRule="atLeast"/>
                    <w:rPr>
                      <w:rFonts w:ascii="細明體" w:eastAsia="細明體" w:hAnsi="細明體" w:cs="新細明體"/>
                      <w:kern w:val="0"/>
                      <w:szCs w:val="24"/>
                    </w:rPr>
                  </w:pPr>
                  <w:r w:rsidRPr="00CD66F2">
                    <w:rPr>
                      <w:rFonts w:ascii="細明體" w:eastAsia="細明體" w:hAnsi="細明體" w:cs="新細明體" w:hint="eastAsia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4200" w:type="pct"/>
                  <w:tcBorders>
                    <w:top w:val="nil"/>
                    <w:left w:val="nil"/>
                    <w:bottom w:val="dotted" w:sz="6" w:space="0" w:color="3F67A5"/>
                    <w:right w:val="nil"/>
                  </w:tcBorders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66F2" w:rsidRPr="00CD66F2" w:rsidRDefault="00CD66F2" w:rsidP="00CD66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15" w:lineRule="atLeast"/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</w:pPr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第五條</w:t>
                  </w:r>
                  <w:proofErr w:type="gramStart"/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所定輔具</w:t>
                  </w:r>
                  <w:proofErr w:type="gramEnd"/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服務，包括</w:t>
                  </w:r>
                  <w:proofErr w:type="gramStart"/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提供擴視機</w:t>
                  </w:r>
                  <w:proofErr w:type="gramEnd"/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、放大鏡、</w:t>
                  </w:r>
                  <w:proofErr w:type="gramStart"/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點字機</w:t>
                  </w:r>
                  <w:proofErr w:type="gramEnd"/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、盲用算盤、盲</w:t>
                  </w:r>
                </w:p>
                <w:p w:rsidR="00CD66F2" w:rsidRPr="00CD66F2" w:rsidRDefault="00CD66F2" w:rsidP="00CD66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15" w:lineRule="atLeast"/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</w:pPr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用電腦及印表機、檯燈、特殊桌椅或其他相關輔具等服務。</w:t>
                  </w:r>
                </w:p>
                <w:p w:rsidR="00CD66F2" w:rsidRPr="00CD66F2" w:rsidRDefault="00CD66F2" w:rsidP="00CD66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15" w:lineRule="atLeast"/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</w:pPr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前項</w:t>
                  </w:r>
                  <w:proofErr w:type="gramStart"/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輔具經各</w:t>
                  </w:r>
                  <w:proofErr w:type="gramEnd"/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級學校及試</w:t>
                  </w:r>
                  <w:proofErr w:type="gramStart"/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務</w:t>
                  </w:r>
                  <w:proofErr w:type="gramEnd"/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單位公布得由考生自備者，考生得申請使用自</w:t>
                  </w:r>
                </w:p>
                <w:p w:rsidR="00CD66F2" w:rsidRPr="00CD66F2" w:rsidRDefault="00CD66F2" w:rsidP="00CD66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15" w:lineRule="atLeast"/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</w:pPr>
                  <w:proofErr w:type="gramStart"/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備輔具</w:t>
                  </w:r>
                  <w:proofErr w:type="gramEnd"/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；自備</w:t>
                  </w:r>
                  <w:proofErr w:type="gramStart"/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輔具需託管</w:t>
                  </w:r>
                  <w:proofErr w:type="gramEnd"/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者，應送各級學校及試</w:t>
                  </w:r>
                  <w:proofErr w:type="gramStart"/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務</w:t>
                  </w:r>
                  <w:proofErr w:type="gramEnd"/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單位檢查及託管；自備</w:t>
                  </w:r>
                </w:p>
                <w:p w:rsidR="00CD66F2" w:rsidRPr="00CD66F2" w:rsidRDefault="00CD66F2" w:rsidP="00CD66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15" w:lineRule="atLeast"/>
                    <w:rPr>
                      <w:rFonts w:ascii="細明體" w:eastAsia="細明體" w:hAnsi="細明體" w:cs="細明體"/>
                      <w:kern w:val="0"/>
                      <w:sz w:val="23"/>
                      <w:szCs w:val="23"/>
                    </w:rPr>
                  </w:pPr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輔具功能簡單無需託管者，於考試開始前經試</w:t>
                  </w:r>
                  <w:proofErr w:type="gramStart"/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務</w:t>
                  </w:r>
                  <w:proofErr w:type="gramEnd"/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人員檢查後，始得使用。</w:t>
                  </w:r>
                </w:p>
              </w:tc>
            </w:tr>
            <w:tr w:rsidR="00CD66F2" w:rsidRPr="00CD66F2">
              <w:trPr>
                <w:jc w:val="center"/>
              </w:trPr>
              <w:tc>
                <w:tcPr>
                  <w:tcW w:w="600" w:type="pct"/>
                  <w:tcBorders>
                    <w:top w:val="nil"/>
                    <w:left w:val="nil"/>
                    <w:bottom w:val="dotted" w:sz="6" w:space="0" w:color="3F67A5"/>
                    <w:right w:val="nil"/>
                  </w:tcBorders>
                  <w:noWrap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66F2" w:rsidRPr="00CD66F2" w:rsidRDefault="00CD66F2" w:rsidP="00CD66F2">
                  <w:pPr>
                    <w:widowControl/>
                    <w:spacing w:line="315" w:lineRule="atLeast"/>
                    <w:rPr>
                      <w:rFonts w:ascii="細明體" w:eastAsia="細明體" w:hAnsi="細明體" w:cs="新細明體"/>
                      <w:kern w:val="0"/>
                      <w:szCs w:val="24"/>
                    </w:rPr>
                  </w:pPr>
                  <w:hyperlink r:id="rId12" w:history="1">
                    <w:r w:rsidRPr="00CD66F2">
                      <w:rPr>
                        <w:rFonts w:ascii="細明體" w:eastAsia="細明體" w:hAnsi="細明體" w:cs="新細明體" w:hint="eastAsia"/>
                        <w:color w:val="3366FF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第 8 條</w:t>
                    </w:r>
                  </w:hyperlink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dotted" w:sz="6" w:space="0" w:color="3F67A5"/>
                    <w:right w:val="nil"/>
                  </w:tcBorders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66F2" w:rsidRPr="00CD66F2" w:rsidRDefault="00CD66F2" w:rsidP="00CD66F2">
                  <w:pPr>
                    <w:widowControl/>
                    <w:spacing w:line="315" w:lineRule="atLeast"/>
                    <w:rPr>
                      <w:rFonts w:ascii="細明體" w:eastAsia="細明體" w:hAnsi="細明體" w:cs="新細明體"/>
                      <w:kern w:val="0"/>
                      <w:szCs w:val="24"/>
                    </w:rPr>
                  </w:pPr>
                  <w:r w:rsidRPr="00CD66F2">
                    <w:rPr>
                      <w:rFonts w:ascii="細明體" w:eastAsia="細明體" w:hAnsi="細明體" w:cs="新細明體" w:hint="eastAsia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4200" w:type="pct"/>
                  <w:tcBorders>
                    <w:top w:val="nil"/>
                    <w:left w:val="nil"/>
                    <w:bottom w:val="dotted" w:sz="6" w:space="0" w:color="3F67A5"/>
                    <w:right w:val="nil"/>
                  </w:tcBorders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66F2" w:rsidRPr="00CD66F2" w:rsidRDefault="00CD66F2" w:rsidP="00CD66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15" w:lineRule="atLeast"/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</w:pPr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第五條所定試題（卷）調整服務，包括調整試題與考生之</w:t>
                  </w:r>
                  <w:proofErr w:type="gramStart"/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適配性</w:t>
                  </w:r>
                  <w:proofErr w:type="gramEnd"/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、題數或</w:t>
                  </w:r>
                </w:p>
                <w:p w:rsidR="00CD66F2" w:rsidRPr="00CD66F2" w:rsidRDefault="00CD66F2" w:rsidP="00CD66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15" w:lineRule="atLeast"/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</w:pPr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比例計分、提供放大試卷、點字試卷、電子試題、有聲試題、觸摸圖形試</w:t>
                  </w:r>
                </w:p>
                <w:p w:rsidR="00CD66F2" w:rsidRPr="00CD66F2" w:rsidRDefault="00CD66F2" w:rsidP="00CD66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15" w:lineRule="atLeast"/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</w:pPr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題、提供試卷並報讀等服務。</w:t>
                  </w:r>
                </w:p>
                <w:p w:rsidR="00CD66F2" w:rsidRPr="00CD66F2" w:rsidRDefault="00CD66F2" w:rsidP="00CD66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15" w:lineRule="atLeast"/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</w:pPr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前項調整試題與考生之</w:t>
                  </w:r>
                  <w:proofErr w:type="gramStart"/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適配性</w:t>
                  </w:r>
                  <w:proofErr w:type="gramEnd"/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，包括試題之信度、</w:t>
                  </w:r>
                  <w:proofErr w:type="gramStart"/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效度</w:t>
                  </w:r>
                  <w:proofErr w:type="gramEnd"/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、鑑別度，及命題</w:t>
                  </w:r>
                </w:p>
                <w:p w:rsidR="00CD66F2" w:rsidRPr="00CD66F2" w:rsidRDefault="00CD66F2" w:rsidP="00CD66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15" w:lineRule="atLeast"/>
                    <w:rPr>
                      <w:rFonts w:ascii="細明體" w:eastAsia="細明體" w:hAnsi="細明體" w:cs="細明體"/>
                      <w:kern w:val="0"/>
                      <w:sz w:val="23"/>
                      <w:szCs w:val="23"/>
                    </w:rPr>
                  </w:pPr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後因應試題與身心障礙類別明顯衝突時所需之調整。</w:t>
                  </w:r>
                </w:p>
              </w:tc>
            </w:tr>
            <w:tr w:rsidR="00CD66F2" w:rsidRPr="00CD66F2">
              <w:trPr>
                <w:jc w:val="center"/>
              </w:trPr>
              <w:tc>
                <w:tcPr>
                  <w:tcW w:w="600" w:type="pct"/>
                  <w:tcBorders>
                    <w:top w:val="nil"/>
                    <w:left w:val="nil"/>
                    <w:bottom w:val="dotted" w:sz="6" w:space="0" w:color="3F67A5"/>
                    <w:right w:val="nil"/>
                  </w:tcBorders>
                  <w:noWrap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66F2" w:rsidRPr="00CD66F2" w:rsidRDefault="00CD66F2" w:rsidP="00CD66F2">
                  <w:pPr>
                    <w:widowControl/>
                    <w:spacing w:line="315" w:lineRule="atLeast"/>
                    <w:rPr>
                      <w:rFonts w:ascii="細明體" w:eastAsia="細明體" w:hAnsi="細明體" w:cs="新細明體"/>
                      <w:kern w:val="0"/>
                      <w:szCs w:val="24"/>
                    </w:rPr>
                  </w:pPr>
                  <w:hyperlink r:id="rId13" w:history="1">
                    <w:r w:rsidRPr="00CD66F2">
                      <w:rPr>
                        <w:rFonts w:ascii="細明體" w:eastAsia="細明體" w:hAnsi="細明體" w:cs="新細明體" w:hint="eastAsia"/>
                        <w:color w:val="3366FF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第 9 條</w:t>
                    </w:r>
                  </w:hyperlink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dotted" w:sz="6" w:space="0" w:color="3F67A5"/>
                    <w:right w:val="nil"/>
                  </w:tcBorders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66F2" w:rsidRPr="00CD66F2" w:rsidRDefault="00CD66F2" w:rsidP="00CD66F2">
                  <w:pPr>
                    <w:widowControl/>
                    <w:spacing w:line="315" w:lineRule="atLeast"/>
                    <w:rPr>
                      <w:rFonts w:ascii="細明體" w:eastAsia="細明體" w:hAnsi="細明體" w:cs="新細明體"/>
                      <w:kern w:val="0"/>
                      <w:szCs w:val="24"/>
                    </w:rPr>
                  </w:pPr>
                  <w:r w:rsidRPr="00CD66F2">
                    <w:rPr>
                      <w:rFonts w:ascii="細明體" w:eastAsia="細明體" w:hAnsi="細明體" w:cs="新細明體" w:hint="eastAsia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4200" w:type="pct"/>
                  <w:tcBorders>
                    <w:top w:val="nil"/>
                    <w:left w:val="nil"/>
                    <w:bottom w:val="dotted" w:sz="6" w:space="0" w:color="3F67A5"/>
                    <w:right w:val="nil"/>
                  </w:tcBorders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66F2" w:rsidRPr="00CD66F2" w:rsidRDefault="00CD66F2" w:rsidP="00CD66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15" w:lineRule="atLeast"/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</w:pPr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第五條所</w:t>
                  </w:r>
                  <w:proofErr w:type="gramStart"/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定作</w:t>
                  </w:r>
                  <w:proofErr w:type="gramEnd"/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答方式調整服務，包括提供電腦輸入法作答、盲用電腦作答</w:t>
                  </w:r>
                </w:p>
                <w:p w:rsidR="00CD66F2" w:rsidRPr="00CD66F2" w:rsidRDefault="00CD66F2" w:rsidP="00CD66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15" w:lineRule="atLeast"/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</w:pPr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、放大答案卡（卷）、電腦打字代</w:t>
                  </w:r>
                  <w:proofErr w:type="gramStart"/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謄</w:t>
                  </w:r>
                  <w:proofErr w:type="gramEnd"/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、口語（錄音）作答及代</w:t>
                  </w:r>
                  <w:proofErr w:type="gramStart"/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謄</w:t>
                  </w:r>
                  <w:proofErr w:type="gramEnd"/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答案卡等</w:t>
                  </w:r>
                </w:p>
                <w:p w:rsidR="00CD66F2" w:rsidRPr="00CD66F2" w:rsidRDefault="00CD66F2" w:rsidP="00CD66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15" w:lineRule="atLeast"/>
                    <w:rPr>
                      <w:rFonts w:ascii="細明體" w:eastAsia="細明體" w:hAnsi="細明體" w:cs="細明體"/>
                      <w:kern w:val="0"/>
                      <w:sz w:val="23"/>
                      <w:szCs w:val="23"/>
                    </w:rPr>
                  </w:pPr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服務。</w:t>
                  </w:r>
                </w:p>
              </w:tc>
            </w:tr>
            <w:tr w:rsidR="00CD66F2" w:rsidRPr="00CD66F2">
              <w:trPr>
                <w:jc w:val="center"/>
              </w:trPr>
              <w:tc>
                <w:tcPr>
                  <w:tcW w:w="600" w:type="pct"/>
                  <w:tcBorders>
                    <w:top w:val="nil"/>
                    <w:left w:val="nil"/>
                    <w:bottom w:val="dotted" w:sz="6" w:space="0" w:color="3F67A5"/>
                    <w:right w:val="nil"/>
                  </w:tcBorders>
                  <w:noWrap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66F2" w:rsidRPr="00CD66F2" w:rsidRDefault="00CD66F2" w:rsidP="00CD66F2">
                  <w:pPr>
                    <w:widowControl/>
                    <w:spacing w:line="315" w:lineRule="atLeast"/>
                    <w:rPr>
                      <w:rFonts w:ascii="細明體" w:eastAsia="細明體" w:hAnsi="細明體" w:cs="新細明體"/>
                      <w:kern w:val="0"/>
                      <w:szCs w:val="24"/>
                    </w:rPr>
                  </w:pPr>
                  <w:hyperlink r:id="rId14" w:history="1">
                    <w:r w:rsidRPr="00CD66F2">
                      <w:rPr>
                        <w:rFonts w:ascii="細明體" w:eastAsia="細明體" w:hAnsi="細明體" w:cs="新細明體" w:hint="eastAsia"/>
                        <w:color w:val="3366FF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第 10 條</w:t>
                    </w:r>
                  </w:hyperlink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dotted" w:sz="6" w:space="0" w:color="3F67A5"/>
                    <w:right w:val="nil"/>
                  </w:tcBorders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66F2" w:rsidRPr="00CD66F2" w:rsidRDefault="00CD66F2" w:rsidP="00CD66F2">
                  <w:pPr>
                    <w:widowControl/>
                    <w:spacing w:line="315" w:lineRule="atLeast"/>
                    <w:rPr>
                      <w:rFonts w:ascii="細明體" w:eastAsia="細明體" w:hAnsi="細明體" w:cs="新細明體"/>
                      <w:kern w:val="0"/>
                      <w:szCs w:val="24"/>
                    </w:rPr>
                  </w:pPr>
                  <w:r w:rsidRPr="00CD66F2">
                    <w:rPr>
                      <w:rFonts w:ascii="細明體" w:eastAsia="細明體" w:hAnsi="細明體" w:cs="新細明體" w:hint="eastAsia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4200" w:type="pct"/>
                  <w:tcBorders>
                    <w:top w:val="nil"/>
                    <w:left w:val="nil"/>
                    <w:bottom w:val="dotted" w:sz="6" w:space="0" w:color="3F67A5"/>
                    <w:right w:val="nil"/>
                  </w:tcBorders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66F2" w:rsidRPr="00CD66F2" w:rsidRDefault="00CD66F2" w:rsidP="00CD66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15" w:lineRule="atLeast"/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</w:pPr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身心障礙學生參加校內學習評量，學校提供本辦法之各項服務，應載明於</w:t>
                  </w:r>
                </w:p>
                <w:p w:rsidR="00CD66F2" w:rsidRPr="00CD66F2" w:rsidRDefault="00CD66F2" w:rsidP="00CD66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15" w:lineRule="atLeast"/>
                    <w:rPr>
                      <w:rFonts w:ascii="細明體" w:eastAsia="細明體" w:hAnsi="細明體" w:cs="細明體"/>
                      <w:kern w:val="0"/>
                      <w:sz w:val="23"/>
                      <w:szCs w:val="23"/>
                    </w:rPr>
                  </w:pPr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個別化教育計畫或個別化支持計畫。</w:t>
                  </w:r>
                </w:p>
              </w:tc>
            </w:tr>
            <w:tr w:rsidR="00CD66F2" w:rsidRPr="00CD66F2">
              <w:trPr>
                <w:jc w:val="center"/>
              </w:trPr>
              <w:tc>
                <w:tcPr>
                  <w:tcW w:w="600" w:type="pct"/>
                  <w:tcBorders>
                    <w:top w:val="nil"/>
                    <w:left w:val="nil"/>
                    <w:bottom w:val="dotted" w:sz="6" w:space="0" w:color="3F67A5"/>
                    <w:right w:val="nil"/>
                  </w:tcBorders>
                  <w:noWrap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66F2" w:rsidRPr="00CD66F2" w:rsidRDefault="00CD66F2" w:rsidP="00CD66F2">
                  <w:pPr>
                    <w:widowControl/>
                    <w:spacing w:line="315" w:lineRule="atLeast"/>
                    <w:rPr>
                      <w:rFonts w:ascii="細明體" w:eastAsia="細明體" w:hAnsi="細明體" w:cs="新細明體"/>
                      <w:kern w:val="0"/>
                      <w:szCs w:val="24"/>
                    </w:rPr>
                  </w:pPr>
                  <w:hyperlink r:id="rId15" w:history="1">
                    <w:r w:rsidRPr="00CD66F2">
                      <w:rPr>
                        <w:rFonts w:ascii="細明體" w:eastAsia="細明體" w:hAnsi="細明體" w:cs="新細明體" w:hint="eastAsia"/>
                        <w:color w:val="3366FF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第 11 條</w:t>
                    </w:r>
                  </w:hyperlink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dotted" w:sz="6" w:space="0" w:color="3F67A5"/>
                    <w:right w:val="nil"/>
                  </w:tcBorders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66F2" w:rsidRPr="00CD66F2" w:rsidRDefault="00CD66F2" w:rsidP="00CD66F2">
                  <w:pPr>
                    <w:widowControl/>
                    <w:spacing w:line="315" w:lineRule="atLeast"/>
                    <w:rPr>
                      <w:rFonts w:ascii="細明體" w:eastAsia="細明體" w:hAnsi="細明體" w:cs="新細明體"/>
                      <w:kern w:val="0"/>
                      <w:szCs w:val="24"/>
                    </w:rPr>
                  </w:pPr>
                  <w:r w:rsidRPr="00CD66F2">
                    <w:rPr>
                      <w:rFonts w:ascii="細明體" w:eastAsia="細明體" w:hAnsi="細明體" w:cs="新細明體" w:hint="eastAsia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4200" w:type="pct"/>
                  <w:tcBorders>
                    <w:top w:val="nil"/>
                    <w:left w:val="nil"/>
                    <w:bottom w:val="dotted" w:sz="6" w:space="0" w:color="3F67A5"/>
                    <w:right w:val="nil"/>
                  </w:tcBorders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66F2" w:rsidRPr="00CD66F2" w:rsidRDefault="00CD66F2" w:rsidP="00CD66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15" w:lineRule="atLeast"/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</w:pPr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本辦法發布施行前，各項考試服務已納入簡章並公告者，依簡章規定辦理</w:t>
                  </w:r>
                </w:p>
                <w:p w:rsidR="00CD66F2" w:rsidRPr="00CD66F2" w:rsidRDefault="00CD66F2" w:rsidP="00CD66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15" w:lineRule="atLeast"/>
                    <w:rPr>
                      <w:rFonts w:ascii="細明體" w:eastAsia="細明體" w:hAnsi="細明體" w:cs="細明體"/>
                      <w:kern w:val="0"/>
                      <w:sz w:val="23"/>
                      <w:szCs w:val="23"/>
                    </w:rPr>
                  </w:pPr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。</w:t>
                  </w:r>
                </w:p>
              </w:tc>
            </w:tr>
            <w:tr w:rsidR="00CD66F2" w:rsidRPr="00CD66F2">
              <w:trPr>
                <w:jc w:val="center"/>
              </w:trPr>
              <w:tc>
                <w:tcPr>
                  <w:tcW w:w="600" w:type="pct"/>
                  <w:tcBorders>
                    <w:top w:val="nil"/>
                    <w:left w:val="nil"/>
                    <w:bottom w:val="dotted" w:sz="6" w:space="0" w:color="3F67A5"/>
                    <w:right w:val="nil"/>
                  </w:tcBorders>
                  <w:noWrap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66F2" w:rsidRPr="00CD66F2" w:rsidRDefault="00CD66F2" w:rsidP="00CD66F2">
                  <w:pPr>
                    <w:widowControl/>
                    <w:spacing w:line="315" w:lineRule="atLeast"/>
                    <w:rPr>
                      <w:rFonts w:ascii="細明體" w:eastAsia="細明體" w:hAnsi="細明體" w:cs="新細明體"/>
                      <w:kern w:val="0"/>
                      <w:szCs w:val="24"/>
                    </w:rPr>
                  </w:pPr>
                  <w:hyperlink r:id="rId16" w:history="1">
                    <w:r w:rsidRPr="00CD66F2">
                      <w:rPr>
                        <w:rFonts w:ascii="細明體" w:eastAsia="細明體" w:hAnsi="細明體" w:cs="新細明體" w:hint="eastAsia"/>
                        <w:color w:val="3366FF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第 12 條</w:t>
                    </w:r>
                  </w:hyperlink>
                </w:p>
              </w:tc>
              <w:tc>
                <w:tcPr>
                  <w:tcW w:w="200" w:type="pct"/>
                  <w:tcBorders>
                    <w:top w:val="nil"/>
                    <w:left w:val="nil"/>
                    <w:bottom w:val="dotted" w:sz="6" w:space="0" w:color="3F67A5"/>
                    <w:right w:val="nil"/>
                  </w:tcBorders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66F2" w:rsidRPr="00CD66F2" w:rsidRDefault="00CD66F2" w:rsidP="00CD66F2">
                  <w:pPr>
                    <w:widowControl/>
                    <w:spacing w:line="315" w:lineRule="atLeast"/>
                    <w:rPr>
                      <w:rFonts w:ascii="細明體" w:eastAsia="細明體" w:hAnsi="細明體" w:cs="新細明體"/>
                      <w:kern w:val="0"/>
                      <w:szCs w:val="24"/>
                    </w:rPr>
                  </w:pPr>
                  <w:r w:rsidRPr="00CD66F2">
                    <w:rPr>
                      <w:rFonts w:ascii="細明體" w:eastAsia="細明體" w:hAnsi="細明體" w:cs="新細明體" w:hint="eastAsia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4200" w:type="pct"/>
                  <w:tcBorders>
                    <w:top w:val="nil"/>
                    <w:left w:val="nil"/>
                    <w:bottom w:val="dotted" w:sz="6" w:space="0" w:color="3F67A5"/>
                    <w:right w:val="nil"/>
                  </w:tcBorders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CD66F2" w:rsidRPr="00CD66F2" w:rsidRDefault="00CD66F2" w:rsidP="00CD66F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15" w:lineRule="atLeast"/>
                    <w:rPr>
                      <w:rFonts w:ascii="細明體" w:eastAsia="細明體" w:hAnsi="細明體" w:cs="細明體"/>
                      <w:kern w:val="0"/>
                      <w:sz w:val="23"/>
                      <w:szCs w:val="23"/>
                    </w:rPr>
                  </w:pPr>
                  <w:r w:rsidRPr="00CD66F2">
                    <w:rPr>
                      <w:rFonts w:ascii="細明體" w:eastAsia="細明體" w:hAnsi="細明體" w:cs="細明體" w:hint="eastAsia"/>
                      <w:kern w:val="0"/>
                      <w:sz w:val="23"/>
                      <w:szCs w:val="23"/>
                    </w:rPr>
                    <w:t>本辦法自發布日施行。</w:t>
                  </w:r>
                </w:p>
              </w:tc>
            </w:tr>
          </w:tbl>
          <w:p w:rsidR="00CD66F2" w:rsidRPr="00CD66F2" w:rsidRDefault="00CD66F2" w:rsidP="00CD66F2">
            <w:pPr>
              <w:widowControl/>
              <w:spacing w:line="315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</w:pPr>
          </w:p>
        </w:tc>
      </w:tr>
    </w:tbl>
    <w:p w:rsidR="00CD66F2" w:rsidRPr="00CD66F2" w:rsidRDefault="00CD66F2"/>
    <w:sectPr w:rsidR="00CD66F2" w:rsidRPr="00CD66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F2"/>
    <w:rsid w:val="00CD66F2"/>
    <w:rsid w:val="00D0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66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66F2"/>
  </w:style>
  <w:style w:type="paragraph" w:styleId="HTML">
    <w:name w:val="HTML Preformatted"/>
    <w:basedOn w:val="a"/>
    <w:link w:val="HTML0"/>
    <w:uiPriority w:val="99"/>
    <w:unhideWhenUsed/>
    <w:rsid w:val="00CD66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D66F2"/>
    <w:rPr>
      <w:rFonts w:ascii="細明體" w:eastAsia="細明體" w:hAnsi="細明體" w:cs="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D6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D66F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66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66F2"/>
  </w:style>
  <w:style w:type="paragraph" w:styleId="HTML">
    <w:name w:val="HTML Preformatted"/>
    <w:basedOn w:val="a"/>
    <w:link w:val="HTML0"/>
    <w:uiPriority w:val="99"/>
    <w:unhideWhenUsed/>
    <w:rsid w:val="00CD66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D66F2"/>
    <w:rPr>
      <w:rFonts w:ascii="細明體" w:eastAsia="細明體" w:hAnsi="細明體" w:cs="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D6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D66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6687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moj.gov.tw/LawClass/LawSingleIf.aspx?Pcode=H0080083&amp;FLNO=4" TargetMode="External"/><Relationship Id="rId13" Type="http://schemas.openxmlformats.org/officeDocument/2006/relationships/hyperlink" Target="http://law.moj.gov.tw/LawClass/LawSingleIf.aspx?Pcode=H0080083&amp;FLNO=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w.moj.gov.tw/LawClass/LawSingleIf.aspx?Pcode=H0080083&amp;FLNO=3" TargetMode="External"/><Relationship Id="rId12" Type="http://schemas.openxmlformats.org/officeDocument/2006/relationships/hyperlink" Target="http://law.moj.gov.tw/LawClass/LawSingleIf.aspx?Pcode=H0080083&amp;FLNO=8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law.moj.gov.tw/LawClass/LawSingleIf.aspx?Pcode=H0080083&amp;FLNO=12" TargetMode="External"/><Relationship Id="rId1" Type="http://schemas.openxmlformats.org/officeDocument/2006/relationships/styles" Target="styles.xml"/><Relationship Id="rId6" Type="http://schemas.openxmlformats.org/officeDocument/2006/relationships/hyperlink" Target="http://law.moj.gov.tw/LawClass/LawSingleIf.aspx?Pcode=H0080083&amp;FLNO=2" TargetMode="External"/><Relationship Id="rId11" Type="http://schemas.openxmlformats.org/officeDocument/2006/relationships/hyperlink" Target="http://law.moj.gov.tw/LawClass/LawSingleIf.aspx?Pcode=H0080083&amp;FLNO=7" TargetMode="External"/><Relationship Id="rId5" Type="http://schemas.openxmlformats.org/officeDocument/2006/relationships/hyperlink" Target="http://law.moj.gov.tw/LawClass/LawSingleIf.aspx?Pcode=H0080083&amp;FLNO=1" TargetMode="External"/><Relationship Id="rId15" Type="http://schemas.openxmlformats.org/officeDocument/2006/relationships/hyperlink" Target="http://law.moj.gov.tw/LawClass/LawSingleIf.aspx?Pcode=H0080083&amp;FLNO=11" TargetMode="External"/><Relationship Id="rId10" Type="http://schemas.openxmlformats.org/officeDocument/2006/relationships/hyperlink" Target="http://law.moj.gov.tw/LawClass/LawSingleIf.aspx?Pcode=H0080083&amp;FLNO=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w.moj.gov.tw/LawClass/LawSingleIf.aspx?Pcode=H0080083&amp;FLNO=5" TargetMode="External"/><Relationship Id="rId14" Type="http://schemas.openxmlformats.org/officeDocument/2006/relationships/hyperlink" Target="http://law.moj.gov.tw/LawClass/LawSingleIf.aspx?Pcode=H0080083&amp;FLNO=1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</dc:creator>
  <cp:lastModifiedBy>袁</cp:lastModifiedBy>
  <cp:revision>1</cp:revision>
  <dcterms:created xsi:type="dcterms:W3CDTF">2016-08-12T01:19:00Z</dcterms:created>
  <dcterms:modified xsi:type="dcterms:W3CDTF">2016-08-12T01:20:00Z</dcterms:modified>
</cp:coreProperties>
</file>