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68" w:rsidRPr="00986EAE" w:rsidRDefault="007F681F" w:rsidP="00986EAE">
      <w:pPr>
        <w:spacing w:line="400" w:lineRule="exact"/>
        <w:ind w:rightChars="-316" w:right="-758"/>
        <w:rPr>
          <w:rFonts w:ascii="標楷體" w:eastAsia="標楷體" w:hAnsi="標楷體"/>
          <w:color w:val="000000"/>
          <w:sz w:val="28"/>
          <w:szCs w:val="28"/>
        </w:rPr>
      </w:pPr>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w:t>
      </w:r>
      <w:bookmarkStart w:id="0" w:name="_GoBack"/>
      <w:r w:rsidRPr="00E27928">
        <w:rPr>
          <w:rFonts w:ascii="標楷體" w:eastAsia="標楷體" w:hAnsi="標楷體" w:hint="eastAsia"/>
          <w:b/>
          <w:color w:val="000000"/>
          <w:sz w:val="28"/>
          <w:szCs w:val="28"/>
        </w:rPr>
        <w:t>桃園市公私立高級中等以下學校學生通過本土語言能力認證奬勵計畫</w:t>
      </w:r>
      <w:bookmarkEnd w:id="0"/>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lang w:bidi="th-TH"/>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lang w:bidi="th-TH"/>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560" w:rsidRDefault="004D5560" w:rsidP="00C63AC3">
      <w:r>
        <w:separator/>
      </w:r>
    </w:p>
  </w:endnote>
  <w:endnote w:type="continuationSeparator" w:id="0">
    <w:p w:rsidR="004D5560" w:rsidRDefault="004D5560"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560" w:rsidRDefault="004D5560" w:rsidP="00C63AC3">
      <w:r>
        <w:separator/>
      </w:r>
    </w:p>
  </w:footnote>
  <w:footnote w:type="continuationSeparator" w:id="0">
    <w:p w:rsidR="004D5560" w:rsidRDefault="004D5560"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4D5560"/>
    <w:rsid w:val="00543735"/>
    <w:rsid w:val="00570176"/>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A3599"/>
    <w:rsid w:val="00AB4681"/>
    <w:rsid w:val="00AC256D"/>
    <w:rsid w:val="00AE55B9"/>
    <w:rsid w:val="00AF7089"/>
    <w:rsid w:val="00AF76A0"/>
    <w:rsid w:val="00B6002B"/>
    <w:rsid w:val="00BD29A2"/>
    <w:rsid w:val="00BD3610"/>
    <w:rsid w:val="00C46072"/>
    <w:rsid w:val="00C63AC3"/>
    <w:rsid w:val="00C733CE"/>
    <w:rsid w:val="00C81CEC"/>
    <w:rsid w:val="00CC7C38"/>
    <w:rsid w:val="00CE7A96"/>
    <w:rsid w:val="00D0484A"/>
    <w:rsid w:val="00D1520C"/>
    <w:rsid w:val="00D63BD3"/>
    <w:rsid w:val="00DD2922"/>
    <w:rsid w:val="00DF297C"/>
    <w:rsid w:val="00E002D2"/>
    <w:rsid w:val="00E1008D"/>
    <w:rsid w:val="00E22C90"/>
    <w:rsid w:val="00E27928"/>
    <w:rsid w:val="00E85A53"/>
    <w:rsid w:val="00E934D6"/>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9223AB-0DCB-4CA2-A259-3F195984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Edge480</cp:lastModifiedBy>
  <cp:revision>3</cp:revision>
  <cp:lastPrinted>2017-08-08T08:35:00Z</cp:lastPrinted>
  <dcterms:created xsi:type="dcterms:W3CDTF">2019-05-02T08:12:00Z</dcterms:created>
  <dcterms:modified xsi:type="dcterms:W3CDTF">2019-05-02T08:12:00Z</dcterms:modified>
</cp:coreProperties>
</file>