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7584" w:rsidRPr="00AC1CFD" w:rsidRDefault="002C77A3">
      <w:pPr>
        <w:widowControl w:val="0"/>
        <w:spacing w:line="240" w:lineRule="auto"/>
        <w:jc w:val="center"/>
        <w:rPr>
          <w:sz w:val="32"/>
          <w:szCs w:val="32"/>
        </w:rPr>
      </w:pPr>
      <w:r w:rsidRPr="00AC1CFD">
        <w:rPr>
          <w:rFonts w:ascii="標楷體" w:eastAsia="標楷體" w:hAnsi="標楷體" w:cs="標楷體"/>
          <w:b/>
          <w:sz w:val="32"/>
          <w:szCs w:val="32"/>
        </w:rPr>
        <w:t>新北市永和區永和國民小學10</w:t>
      </w:r>
      <w:r w:rsidR="001B21F6">
        <w:rPr>
          <w:rFonts w:ascii="標楷體" w:eastAsia="標楷體" w:hAnsi="標楷體" w:cs="標楷體" w:hint="eastAsia"/>
          <w:b/>
          <w:sz w:val="32"/>
          <w:szCs w:val="32"/>
        </w:rPr>
        <w:t>6</w:t>
      </w:r>
      <w:r w:rsidRPr="00AC1CFD">
        <w:rPr>
          <w:rFonts w:ascii="標楷體" w:eastAsia="標楷體" w:hAnsi="標楷體" w:cs="標楷體"/>
          <w:b/>
          <w:sz w:val="32"/>
          <w:szCs w:val="32"/>
        </w:rPr>
        <w:t>學年度</w:t>
      </w:r>
      <w:r w:rsidR="00AC1CFD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Pr="00AC1CFD">
        <w:rPr>
          <w:rFonts w:ascii="標楷體" w:eastAsia="標楷體" w:hAnsi="標楷體" w:cs="標楷體"/>
          <w:b/>
          <w:sz w:val="32"/>
          <w:szCs w:val="32"/>
        </w:rPr>
        <w:t>五上</w:t>
      </w:r>
      <w:r w:rsidRPr="00AC1CFD">
        <w:rPr>
          <w:rFonts w:ascii="標楷體" w:eastAsia="標楷體" w:hAnsi="標楷體" w:cs="標楷體"/>
          <w:b/>
          <w:sz w:val="32"/>
          <w:szCs w:val="32"/>
          <w:bdr w:val="single" w:sz="4" w:space="0" w:color="auto"/>
        </w:rPr>
        <w:t>國語</w:t>
      </w:r>
      <w:r w:rsidRPr="00AC1CFD">
        <w:rPr>
          <w:rFonts w:ascii="標楷體" w:eastAsia="標楷體" w:hAnsi="標楷體" w:cs="標楷體"/>
          <w:b/>
          <w:sz w:val="32"/>
          <w:szCs w:val="32"/>
        </w:rPr>
        <w:t>領域教學計畫</w:t>
      </w:r>
    </w:p>
    <w:p w:rsidR="007C7584" w:rsidRPr="00AC1CFD" w:rsidRDefault="00AC1CFD" w:rsidP="00AC1CFD">
      <w:pPr>
        <w:widowControl w:val="0"/>
        <w:spacing w:before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AC1CFD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2C77A3" w:rsidRPr="00AC1CFD">
        <w:rPr>
          <w:rFonts w:ascii="標楷體" w:eastAsia="標楷體" w:hAnsi="標楷體" w:cs="標楷體"/>
          <w:b/>
          <w:sz w:val="28"/>
          <w:szCs w:val="28"/>
        </w:rPr>
        <w:t>授課老師</w:t>
      </w:r>
      <w:r w:rsidR="002C77A3" w:rsidRPr="00AC1CFD">
        <w:rPr>
          <w:rFonts w:ascii="標楷體" w:eastAsia="標楷體" w:hAnsi="標楷體" w:cs="標楷體"/>
          <w:sz w:val="28"/>
          <w:szCs w:val="28"/>
        </w:rPr>
        <w:t>：</w:t>
      </w:r>
      <w:r w:rsidRPr="00AC1CFD">
        <w:rPr>
          <w:rFonts w:ascii="標楷體" w:eastAsia="標楷體" w:hAnsi="標楷體" w:cs="標楷體"/>
          <w:sz w:val="28"/>
          <w:szCs w:val="28"/>
        </w:rPr>
        <w:t>5</w:t>
      </w:r>
      <w:r w:rsidR="001B21F6">
        <w:rPr>
          <w:rFonts w:ascii="標楷體" w:eastAsia="標楷體" w:hAnsi="標楷體" w:cs="標楷體" w:hint="eastAsia"/>
          <w:sz w:val="28"/>
          <w:szCs w:val="28"/>
        </w:rPr>
        <w:t>1</w:t>
      </w:r>
      <w:r w:rsidR="0078447C">
        <w:rPr>
          <w:rFonts w:ascii="標楷體" w:eastAsia="標楷體" w:hAnsi="標楷體" w:cs="標楷體" w:hint="eastAsia"/>
          <w:sz w:val="28"/>
          <w:szCs w:val="28"/>
        </w:rPr>
        <w:t>4李麗花</w:t>
      </w:r>
      <w:r w:rsidR="002C77A3" w:rsidRPr="00AC1CFD">
        <w:rPr>
          <w:rFonts w:ascii="標楷體" w:eastAsia="標楷體" w:hAnsi="標楷體" w:cs="標楷體"/>
          <w:sz w:val="28"/>
          <w:szCs w:val="28"/>
        </w:rPr>
        <w:t>老師</w:t>
      </w:r>
    </w:p>
    <w:p w:rsidR="007C7584" w:rsidRPr="00AC1CFD" w:rsidRDefault="00AC1CFD" w:rsidP="00AC1CFD">
      <w:pPr>
        <w:widowControl w:val="0"/>
        <w:spacing w:before="180" w:line="240" w:lineRule="auto"/>
        <w:rPr>
          <w:rFonts w:ascii="標楷體" w:eastAsia="標楷體" w:hAnsi="標楷體" w:cs="標楷體"/>
          <w:sz w:val="28"/>
          <w:szCs w:val="28"/>
        </w:rPr>
      </w:pPr>
      <w:r w:rsidRPr="00AC1CFD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 w:rsidR="002C77A3" w:rsidRPr="00AC1CFD">
        <w:rPr>
          <w:rFonts w:ascii="標楷體" w:eastAsia="標楷體" w:hAnsi="標楷體" w:cs="標楷體"/>
          <w:b/>
          <w:sz w:val="28"/>
          <w:szCs w:val="28"/>
        </w:rPr>
        <w:t>每週授課節數：</w:t>
      </w:r>
      <w:r w:rsidR="002C77A3" w:rsidRPr="00AC1CFD">
        <w:rPr>
          <w:rFonts w:ascii="標楷體" w:eastAsia="標楷體" w:hAnsi="標楷體" w:cs="標楷體"/>
          <w:sz w:val="28"/>
          <w:szCs w:val="28"/>
        </w:rPr>
        <w:t>6</w:t>
      </w:r>
    </w:p>
    <w:p w:rsidR="007C7584" w:rsidRDefault="002C77A3">
      <w:pPr>
        <w:widowControl w:val="0"/>
        <w:spacing w:before="180" w:line="240" w:lineRule="auto"/>
        <w:ind w:left="1562" w:hanging="1562"/>
        <w:rPr>
          <w:rFonts w:ascii="標楷體" w:eastAsia="標楷體" w:hAnsi="標楷體" w:cs="標楷體"/>
          <w:sz w:val="28"/>
          <w:szCs w:val="28"/>
        </w:rPr>
      </w:pPr>
      <w:r w:rsidRPr="00AC1CFD">
        <w:rPr>
          <w:rFonts w:ascii="標楷體" w:eastAsia="標楷體" w:hAnsi="標楷體" w:cs="標楷體"/>
          <w:b/>
          <w:sz w:val="28"/>
          <w:szCs w:val="28"/>
        </w:rPr>
        <w:t>三、學習目標</w:t>
      </w:r>
      <w:r w:rsidRPr="00AC1CFD">
        <w:rPr>
          <w:rFonts w:ascii="標楷體" w:eastAsia="標楷體" w:hAnsi="標楷體" w:cs="標楷體"/>
          <w:sz w:val="28"/>
          <w:szCs w:val="28"/>
        </w:rPr>
        <w:t>：</w:t>
      </w:r>
    </w:p>
    <w:p w:rsidR="00AC1CFD" w:rsidRPr="00AC1CFD" w:rsidRDefault="00AC1CFD">
      <w:pPr>
        <w:widowControl w:val="0"/>
        <w:spacing w:before="180" w:line="240" w:lineRule="auto"/>
        <w:ind w:left="1562" w:hanging="1562"/>
        <w:rPr>
          <w:sz w:val="28"/>
          <w:szCs w:val="28"/>
        </w:rPr>
      </w:pPr>
    </w:p>
    <w:tbl>
      <w:tblPr>
        <w:tblStyle w:val="a5"/>
        <w:tblW w:w="94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713"/>
        <w:gridCol w:w="4703"/>
      </w:tblGrid>
      <w:tr w:rsidR="007C7584" w:rsidTr="00AC1CFD">
        <w:trPr>
          <w:trHeight w:val="280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7C7584" w:rsidRDefault="007C7584">
            <w:pPr>
              <w:widowControl w:val="0"/>
              <w:spacing w:line="240" w:lineRule="auto"/>
              <w:jc w:val="center"/>
            </w:pP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7C7584" w:rsidRDefault="002C77A3" w:rsidP="00AC1CF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學習目標</w:t>
            </w:r>
          </w:p>
        </w:tc>
        <w:tc>
          <w:tcPr>
            <w:tcW w:w="4703" w:type="dxa"/>
            <w:tcMar>
              <w:left w:w="28" w:type="dxa"/>
              <w:right w:w="28" w:type="dxa"/>
            </w:tcMar>
            <w:vAlign w:val="center"/>
          </w:tcPr>
          <w:p w:rsidR="007C7584" w:rsidRDefault="002C77A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分段能力指標</w:t>
            </w:r>
          </w:p>
        </w:tc>
      </w:tr>
      <w:tr w:rsidR="007C7584" w:rsidTr="00AC1CFD">
        <w:trPr>
          <w:trHeight w:val="2660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7C7584" w:rsidRPr="006A72C0" w:rsidRDefault="002C77A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/>
                <w:b/>
                <w:sz w:val="24"/>
                <w:szCs w:val="24"/>
              </w:rPr>
              <w:t>單元1</w:t>
            </w:r>
          </w:p>
          <w:p w:rsidR="00AC1CFD" w:rsidRPr="006A72C0" w:rsidRDefault="00AC1C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1B21F6" w:rsidRPr="006A72C0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2C0">
              <w:rPr>
                <w:rFonts w:ascii="標楷體" w:eastAsia="標楷體" w:hAnsi="標楷體" w:hint="eastAsia"/>
                <w:b/>
                <w:sz w:val="28"/>
                <w:szCs w:val="28"/>
              </w:rPr>
              <w:t>品</w:t>
            </w:r>
          </w:p>
          <w:p w:rsidR="001B21F6" w:rsidRPr="006A72C0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2C0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  <w:p w:rsidR="001B21F6" w:rsidRPr="006A72C0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2C0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  <w:p w:rsidR="007C7584" w:rsidRPr="006A72C0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72C0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7C7584" w:rsidRPr="006A72C0" w:rsidRDefault="006A72C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hint="eastAsia"/>
                <w:sz w:val="24"/>
                <w:szCs w:val="24"/>
              </w:rPr>
              <w:t>本單元介紹負責、尊重、團結等品格故事，並舉知名人物為例，說明服務的精神。從故事與例子，體會品德的重要，並身體力行，落實在生活中。</w:t>
            </w:r>
          </w:p>
        </w:tc>
        <w:tc>
          <w:tcPr>
            <w:tcW w:w="4703" w:type="dxa"/>
            <w:tcMar>
              <w:left w:w="28" w:type="dxa"/>
              <w:right w:w="28" w:type="dxa"/>
            </w:tcMar>
          </w:tcPr>
          <w:p w:rsidR="001B21F6" w:rsidRPr="006A72C0" w:rsidRDefault="001B21F6" w:rsidP="001B21F6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4-3-1能認識常用漢字2,200-2,700字。</w:t>
            </w:r>
          </w:p>
          <w:p w:rsidR="001B21F6" w:rsidRPr="006A72C0" w:rsidRDefault="001B21F6" w:rsidP="001B21F6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5-3-1能掌握文章要點，並熟習字詞句型。</w:t>
            </w:r>
          </w:p>
          <w:p w:rsidR="001B21F6" w:rsidRPr="006A72C0" w:rsidRDefault="001B21F6" w:rsidP="001B21F6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5-3-3-1能瞭解文章的主旨、取材及結構。</w:t>
            </w:r>
          </w:p>
          <w:p w:rsidR="001B21F6" w:rsidRPr="006A72C0" w:rsidRDefault="001B21F6" w:rsidP="001B21F6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5-3-4-4能將閱讀材料與實際生活經驗相結合。</w:t>
            </w:r>
          </w:p>
          <w:p w:rsidR="001B21F6" w:rsidRPr="006A72C0" w:rsidRDefault="001B21F6" w:rsidP="001B21F6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5-3-5-2能用心精讀，記取細節，深究內容，開展思路。</w:t>
            </w:r>
          </w:p>
          <w:p w:rsidR="001B21F6" w:rsidRPr="006A72C0" w:rsidRDefault="001B21F6" w:rsidP="001B21F6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6-3-3-1能養成觀察周圍事物，並寫下重點的習慣。</w:t>
            </w:r>
          </w:p>
          <w:p w:rsidR="007C7584" w:rsidRPr="006A72C0" w:rsidRDefault="001B21F6" w:rsidP="001B21F6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6-3-1能正確流暢的遣詞造句、安排段落、組織成篇。</w:t>
            </w:r>
          </w:p>
        </w:tc>
      </w:tr>
      <w:tr w:rsidR="007C7584" w:rsidTr="00AC1CFD">
        <w:trPr>
          <w:trHeight w:val="2540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7C7584" w:rsidRPr="00C35777" w:rsidRDefault="002C77A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C35777">
              <w:rPr>
                <w:rFonts w:ascii="標楷體" w:eastAsia="標楷體" w:hAnsi="標楷體" w:cs="標楷體"/>
                <w:b/>
                <w:sz w:val="24"/>
                <w:szCs w:val="24"/>
              </w:rPr>
              <w:t>單元2</w:t>
            </w:r>
          </w:p>
          <w:p w:rsidR="00AC1CFD" w:rsidRPr="00C35777" w:rsidRDefault="00AC1C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  <w:p w:rsidR="001B21F6" w:rsidRPr="006A72C0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2C0">
              <w:rPr>
                <w:rFonts w:ascii="標楷體" w:eastAsia="標楷體" w:hAnsi="標楷體" w:hint="eastAsia"/>
                <w:b/>
                <w:sz w:val="28"/>
                <w:szCs w:val="28"/>
              </w:rPr>
              <w:t>擁</w:t>
            </w:r>
          </w:p>
          <w:p w:rsidR="001B21F6" w:rsidRPr="006A72C0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2C0">
              <w:rPr>
                <w:rFonts w:ascii="標楷體" w:eastAsia="標楷體" w:hAnsi="標楷體" w:hint="eastAsia"/>
                <w:b/>
                <w:sz w:val="28"/>
                <w:szCs w:val="28"/>
              </w:rPr>
              <w:t>抱</w:t>
            </w:r>
          </w:p>
          <w:p w:rsidR="001B21F6" w:rsidRPr="006A72C0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2C0">
              <w:rPr>
                <w:rFonts w:ascii="標楷體" w:eastAsia="標楷體" w:hAnsi="標楷體" w:hint="eastAsia"/>
                <w:b/>
                <w:sz w:val="28"/>
                <w:szCs w:val="28"/>
              </w:rPr>
              <w:t>海</w:t>
            </w:r>
          </w:p>
          <w:p w:rsidR="007C7584" w:rsidRPr="00C35777" w:rsidRDefault="001B21F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A72C0">
              <w:rPr>
                <w:rFonts w:ascii="標楷體" w:eastAsia="標楷體" w:hAnsi="標楷體" w:hint="eastAsia"/>
                <w:b/>
                <w:sz w:val="28"/>
                <w:szCs w:val="28"/>
              </w:rPr>
              <w:t>洋</w:t>
            </w: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7C7584" w:rsidRDefault="002C77A3">
            <w:pPr>
              <w:widowControl w:val="0"/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透過</w:t>
            </w:r>
            <w:r w:rsidR="006A72C0">
              <w:rPr>
                <w:rFonts w:ascii="標楷體" w:eastAsia="標楷體" w:hAnsi="標楷體" w:cs="標楷體" w:hint="eastAsia"/>
                <w:sz w:val="24"/>
                <w:szCs w:val="24"/>
              </w:rPr>
              <w:t>課文內容，培養學生認識海洋相關的基本知識，並透過參與海洋保育活動，在親近海洋的同時，學會對大自然的尊重。</w:t>
            </w:r>
          </w:p>
        </w:tc>
        <w:tc>
          <w:tcPr>
            <w:tcW w:w="4703" w:type="dxa"/>
            <w:tcMar>
              <w:left w:w="28" w:type="dxa"/>
              <w:right w:w="28" w:type="dxa"/>
            </w:tcMar>
          </w:tcPr>
          <w:p w:rsidR="001B21F6" w:rsidRPr="001B21F6" w:rsidRDefault="001B21F6" w:rsidP="001B21F6">
            <w:pP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B21F6">
              <w:rPr>
                <w:rFonts w:ascii="標楷體" w:eastAsia="標楷體" w:hAnsi="標楷體" w:cs="標楷體" w:hint="eastAsia"/>
                <w:sz w:val="24"/>
                <w:szCs w:val="24"/>
              </w:rPr>
              <w:t>5-3-5能運用不同的閱讀策略，增進閱讀的能力。</w:t>
            </w:r>
          </w:p>
          <w:p w:rsidR="001B21F6" w:rsidRPr="001B21F6" w:rsidRDefault="001B21F6" w:rsidP="001B21F6">
            <w:pP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B21F6">
              <w:rPr>
                <w:rFonts w:ascii="標楷體" w:eastAsia="標楷體" w:hAnsi="標楷體" w:cs="標楷體" w:hint="eastAsia"/>
                <w:sz w:val="24"/>
                <w:szCs w:val="24"/>
              </w:rPr>
              <w:t>5-3-3-2能認識文章的各種表述方式。</w:t>
            </w:r>
          </w:p>
          <w:p w:rsidR="001B21F6" w:rsidRPr="001B21F6" w:rsidRDefault="001B21F6" w:rsidP="001B21F6">
            <w:pP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B21F6">
              <w:rPr>
                <w:rFonts w:ascii="標楷體" w:eastAsia="標楷體" w:hAnsi="標楷體" w:cs="標楷體" w:hint="eastAsia"/>
                <w:sz w:val="24"/>
                <w:szCs w:val="24"/>
              </w:rPr>
              <w:t>5-3-3-3能理解簡易的文法及修辭。</w:t>
            </w:r>
          </w:p>
          <w:p w:rsidR="001B21F6" w:rsidRPr="001B21F6" w:rsidRDefault="001B21F6" w:rsidP="001B21F6">
            <w:pP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B21F6">
              <w:rPr>
                <w:rFonts w:ascii="標楷體" w:eastAsia="標楷體" w:hAnsi="標楷體" w:cs="標楷體" w:hint="eastAsia"/>
                <w:sz w:val="24"/>
                <w:szCs w:val="24"/>
              </w:rPr>
              <w:t>6-3-1能正確流暢的遣詞造句、安排段落、組織成篇。</w:t>
            </w:r>
          </w:p>
          <w:p w:rsidR="001B21F6" w:rsidRPr="001B21F6" w:rsidRDefault="001B21F6" w:rsidP="001B21F6">
            <w:pP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OLE_LINK1"/>
            <w:r w:rsidRPr="001B21F6">
              <w:rPr>
                <w:rFonts w:ascii="標楷體" w:eastAsia="標楷體" w:hAnsi="標楷體" w:cs="標楷體" w:hint="eastAsia"/>
                <w:sz w:val="24"/>
                <w:szCs w:val="24"/>
              </w:rPr>
              <w:t>3-3-4發現臺灣海洋環境的特色，瞭解其海洋環境與人文歷史。</w:t>
            </w:r>
          </w:p>
          <w:p w:rsidR="007C7584" w:rsidRPr="001B21F6" w:rsidRDefault="001B21F6" w:rsidP="001B21F6">
            <w:pP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B21F6">
              <w:rPr>
                <w:rFonts w:ascii="標楷體" w:eastAsia="標楷體" w:hAnsi="標楷體" w:cs="標楷體" w:hint="eastAsia"/>
                <w:sz w:val="24"/>
                <w:szCs w:val="24"/>
              </w:rPr>
              <w:t>3-3-5廣泛閱讀以海洋為素材之文學作品。</w:t>
            </w:r>
            <w:bookmarkEnd w:id="0"/>
          </w:p>
        </w:tc>
      </w:tr>
      <w:tr w:rsidR="007C7584" w:rsidTr="00AC1CFD">
        <w:trPr>
          <w:trHeight w:val="2640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7C7584" w:rsidRPr="00C35777" w:rsidRDefault="002C77A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C35777">
              <w:rPr>
                <w:rFonts w:ascii="標楷體" w:eastAsia="標楷體" w:hAnsi="標楷體" w:cs="標楷體"/>
                <w:b/>
                <w:sz w:val="24"/>
                <w:szCs w:val="24"/>
              </w:rPr>
              <w:t>單元3</w:t>
            </w:r>
          </w:p>
          <w:p w:rsidR="00AC1CFD" w:rsidRPr="00C35777" w:rsidRDefault="00AC1C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  <w:p w:rsidR="001B21F6" w:rsidRPr="002F368A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368A">
              <w:rPr>
                <w:rFonts w:ascii="標楷體" w:eastAsia="標楷體" w:hAnsi="標楷體" w:hint="eastAsia"/>
                <w:b/>
                <w:sz w:val="28"/>
                <w:szCs w:val="28"/>
              </w:rPr>
              <w:t>美</w:t>
            </w:r>
          </w:p>
          <w:p w:rsidR="001B21F6" w:rsidRPr="002F368A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368A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</w:p>
          <w:p w:rsidR="001B21F6" w:rsidRPr="002F368A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368A">
              <w:rPr>
                <w:rFonts w:ascii="標楷體" w:eastAsia="標楷體" w:hAnsi="標楷體" w:hint="eastAsia"/>
                <w:b/>
                <w:sz w:val="28"/>
                <w:szCs w:val="28"/>
              </w:rPr>
              <w:t>發</w:t>
            </w:r>
          </w:p>
          <w:p w:rsidR="007C7584" w:rsidRDefault="001B21F6">
            <w:pPr>
              <w:widowControl w:val="0"/>
              <w:spacing w:line="240" w:lineRule="auto"/>
              <w:jc w:val="center"/>
            </w:pPr>
            <w:r w:rsidRPr="002F368A">
              <w:rPr>
                <w:rFonts w:ascii="標楷體" w:eastAsia="標楷體" w:hAnsi="標楷體" w:hint="eastAsia"/>
                <w:b/>
                <w:sz w:val="28"/>
                <w:szCs w:val="28"/>
              </w:rPr>
              <w:t>現</w:t>
            </w: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7C7584" w:rsidRDefault="002C77A3">
            <w:pPr>
              <w:widowControl w:val="0"/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透過</w:t>
            </w:r>
            <w:r w:rsidR="006A72C0">
              <w:rPr>
                <w:rFonts w:ascii="標楷體" w:eastAsia="標楷體" w:hAnsi="標楷體" w:cs="標楷體" w:hint="eastAsia"/>
                <w:sz w:val="24"/>
                <w:szCs w:val="24"/>
              </w:rPr>
              <w:t>課文的描述</w:t>
            </w:r>
            <w:r w:rsidR="002F368A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="006A72C0">
              <w:rPr>
                <w:rFonts w:ascii="標楷體" w:eastAsia="標楷體" w:hAnsi="標楷體" w:cs="標楷體" w:hint="eastAsia"/>
                <w:sz w:val="24"/>
                <w:szCs w:val="24"/>
              </w:rPr>
              <w:t>連結學生的美感經驗</w:t>
            </w:r>
            <w:r w:rsidR="002F368A">
              <w:rPr>
                <w:rFonts w:ascii="標楷體" w:eastAsia="標楷體" w:hAnsi="標楷體" w:cs="標楷體" w:hint="eastAsia"/>
                <w:sz w:val="24"/>
                <w:szCs w:val="24"/>
              </w:rPr>
              <w:t>，讓孩子分享生活所見所聞，並將美的感受表達出來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4703" w:type="dxa"/>
            <w:tcMar>
              <w:left w:w="28" w:type="dxa"/>
              <w:right w:w="28" w:type="dxa"/>
            </w:tcMar>
          </w:tcPr>
          <w:p w:rsidR="006A72C0" w:rsidRPr="006A72C0" w:rsidRDefault="006A72C0" w:rsidP="006A72C0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1-3-1能藉由觀察與體驗自然，以創作文章、美勞、音樂、戲劇表演等形式表現自然環境之美與對環境的關懷。</w:t>
            </w: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br/>
              <w:t>4-3-3能利用資訊科技媒體等搜尋需要的資料。</w:t>
            </w:r>
          </w:p>
          <w:p w:rsidR="006A72C0" w:rsidRPr="006A72C0" w:rsidRDefault="006A72C0" w:rsidP="006A72C0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4-3-5能利用</w:t>
            </w:r>
            <w:hyperlink r:id="rId7" w:tooltip="搜尋引擎" w:history="1">
              <w:r w:rsidRPr="006A72C0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搜尋引擎</w:t>
              </w:r>
            </w:hyperlink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及搜尋技巧尋找合適的網路資源。</w:t>
            </w:r>
          </w:p>
          <w:p w:rsidR="007C7584" w:rsidRPr="006A72C0" w:rsidRDefault="006A72C0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4-3-6能利用網路工具分享</w:t>
            </w:r>
            <w:hyperlink r:id="rId8" w:tooltip="學習資源" w:history="1">
              <w:r w:rsidRPr="006A72C0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學習資源</w:t>
              </w:r>
            </w:hyperlink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與心得。</w:t>
            </w:r>
          </w:p>
        </w:tc>
      </w:tr>
      <w:tr w:rsidR="007C7584" w:rsidTr="00AC1CFD">
        <w:trPr>
          <w:trHeight w:val="3520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7C7584" w:rsidRPr="00C35777" w:rsidRDefault="002C77A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C35777">
              <w:rPr>
                <w:rFonts w:ascii="標楷體" w:eastAsia="標楷體" w:hAnsi="標楷體" w:cs="標楷體"/>
                <w:b/>
                <w:sz w:val="24"/>
                <w:szCs w:val="24"/>
              </w:rPr>
              <w:lastRenderedPageBreak/>
              <w:t>單元4</w:t>
            </w:r>
          </w:p>
          <w:p w:rsidR="00AC1CFD" w:rsidRPr="001B21F6" w:rsidRDefault="00AC1C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  <w:p w:rsidR="001B21F6" w:rsidRPr="002F368A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368A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  <w:p w:rsidR="001B21F6" w:rsidRPr="002F368A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368A">
              <w:rPr>
                <w:rFonts w:ascii="標楷體" w:eastAsia="標楷體" w:hAnsi="標楷體" w:hint="eastAsia"/>
                <w:b/>
                <w:sz w:val="28"/>
                <w:szCs w:val="28"/>
              </w:rPr>
              <w:t>家</w:t>
            </w:r>
          </w:p>
          <w:p w:rsidR="001B21F6" w:rsidRPr="002F368A" w:rsidRDefault="001B21F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368A">
              <w:rPr>
                <w:rFonts w:ascii="標楷體" w:eastAsia="標楷體" w:hAnsi="標楷體" w:hint="eastAsia"/>
                <w:b/>
                <w:sz w:val="28"/>
                <w:szCs w:val="28"/>
              </w:rPr>
              <w:t>風</w:t>
            </w:r>
          </w:p>
          <w:p w:rsidR="007C7584" w:rsidRDefault="001B21F6">
            <w:pPr>
              <w:widowControl w:val="0"/>
              <w:spacing w:line="240" w:lineRule="auto"/>
              <w:jc w:val="center"/>
            </w:pPr>
            <w:r w:rsidRPr="002F368A"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7C7584" w:rsidRDefault="002F368A" w:rsidP="002F368A">
            <w:pPr>
              <w:widowControl w:val="0"/>
              <w:spacing w:line="240" w:lineRule="auto"/>
              <w:jc w:val="both"/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透過古今中外大師的作品，讓學生認識經典作家，感受其偉大的典範。</w:t>
            </w:r>
          </w:p>
        </w:tc>
        <w:tc>
          <w:tcPr>
            <w:tcW w:w="4703" w:type="dxa"/>
            <w:tcMar>
              <w:left w:w="28" w:type="dxa"/>
              <w:right w:w="28" w:type="dxa"/>
            </w:tcMar>
          </w:tcPr>
          <w:p w:rsidR="006A72C0" w:rsidRPr="006A72C0" w:rsidRDefault="006A72C0" w:rsidP="006A72C0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6-3-1能正確流暢的遣詞造句、安排段落、組織成篇。</w:t>
            </w:r>
          </w:p>
          <w:p w:rsidR="006A72C0" w:rsidRPr="006A72C0" w:rsidRDefault="006A72C0" w:rsidP="006A72C0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6-3-2-3能練習從審題、立意、選材、安排段落及組織等步驟，習寫作文。</w:t>
            </w:r>
          </w:p>
          <w:p w:rsidR="006A72C0" w:rsidRPr="006A72C0" w:rsidRDefault="006A72C0" w:rsidP="006A72C0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4-3-2運用溝通技巧與家人分享彼此的想法與感受。</w:t>
            </w:r>
          </w:p>
          <w:p w:rsidR="007C7584" w:rsidRDefault="006A72C0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4-3-3探索家庭生活問題及其對個人的影響。</w:t>
            </w:r>
          </w:p>
          <w:p w:rsidR="006A72C0" w:rsidRPr="006A72C0" w:rsidRDefault="006A72C0">
            <w:pPr>
              <w:widowControl w:val="0"/>
              <w:spacing w:line="240" w:lineRule="auto"/>
              <w:ind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72C0">
              <w:rPr>
                <w:rFonts w:ascii="標楷體" w:eastAsia="標楷體" w:hAnsi="標楷體" w:cs="標楷體" w:hint="eastAsia"/>
                <w:sz w:val="24"/>
                <w:szCs w:val="24"/>
              </w:rPr>
              <w:t>1-3-1能藉由觀察與體驗自然，以創作文章、美勞、音樂、戲劇表演等形式表現自然環境之美與對環境的關懷。</w:t>
            </w:r>
          </w:p>
        </w:tc>
      </w:tr>
    </w:tbl>
    <w:p w:rsidR="007C7584" w:rsidRDefault="007C7584">
      <w:pPr>
        <w:widowControl w:val="0"/>
        <w:spacing w:before="180" w:line="240" w:lineRule="auto"/>
        <w:ind w:left="1562" w:hanging="1562"/>
      </w:pPr>
    </w:p>
    <w:p w:rsidR="007C7584" w:rsidRPr="00AC1CFD" w:rsidRDefault="002C77A3">
      <w:pPr>
        <w:widowControl w:val="0"/>
        <w:spacing w:before="180" w:line="240" w:lineRule="auto"/>
        <w:ind w:left="1562" w:hanging="1562"/>
        <w:rPr>
          <w:sz w:val="28"/>
          <w:szCs w:val="28"/>
        </w:rPr>
      </w:pPr>
      <w:r w:rsidRPr="00AC1CFD">
        <w:rPr>
          <w:rFonts w:ascii="標楷體" w:eastAsia="標楷體" w:hAnsi="標楷體" w:cs="標楷體"/>
          <w:b/>
          <w:sz w:val="28"/>
          <w:szCs w:val="28"/>
        </w:rPr>
        <w:t>四、教學方式及內容</w:t>
      </w:r>
      <w:r w:rsidRPr="00AC1CFD">
        <w:rPr>
          <w:rFonts w:ascii="標楷體" w:eastAsia="標楷體" w:hAnsi="標楷體" w:cs="標楷體"/>
          <w:sz w:val="28"/>
          <w:szCs w:val="28"/>
        </w:rPr>
        <w:t>：</w:t>
      </w:r>
    </w:p>
    <w:p w:rsidR="007C7584" w:rsidRDefault="002C77A3">
      <w:pPr>
        <w:widowControl w:val="0"/>
        <w:numPr>
          <w:ilvl w:val="0"/>
          <w:numId w:val="1"/>
        </w:numPr>
        <w:tabs>
          <w:tab w:val="left" w:pos="770"/>
        </w:tabs>
        <w:spacing w:line="240" w:lineRule="auto"/>
        <w:ind w:left="784" w:hanging="2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以夥伴閱讀方式概覽課文，提出疑惑的字詞義與內容，師生共同討論釋疑。</w:t>
      </w:r>
    </w:p>
    <w:p w:rsidR="007C7584" w:rsidRDefault="002C77A3">
      <w:pPr>
        <w:widowControl w:val="0"/>
        <w:numPr>
          <w:ilvl w:val="0"/>
          <w:numId w:val="1"/>
        </w:numPr>
        <w:tabs>
          <w:tab w:val="left" w:pos="770"/>
        </w:tabs>
        <w:spacing w:line="240" w:lineRule="auto"/>
        <w:ind w:left="784" w:hanging="2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透過師生互動討論，了解課文中的陳述與概念，並整理出課文的大意與主旨。</w:t>
      </w:r>
    </w:p>
    <w:p w:rsidR="007C7584" w:rsidRDefault="002C77A3">
      <w:pPr>
        <w:widowControl w:val="0"/>
        <w:numPr>
          <w:ilvl w:val="0"/>
          <w:numId w:val="1"/>
        </w:numPr>
        <w:tabs>
          <w:tab w:val="left" w:pos="770"/>
        </w:tabs>
        <w:spacing w:line="240" w:lineRule="auto"/>
        <w:ind w:left="784" w:hanging="2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學生以個人或分組方式，運用已學概念，經由師生互動討論，找出課文中的修辭技巧、句型。</w:t>
      </w:r>
    </w:p>
    <w:p w:rsidR="007C7584" w:rsidRDefault="00950391">
      <w:pPr>
        <w:widowControl w:val="0"/>
        <w:numPr>
          <w:ilvl w:val="0"/>
          <w:numId w:val="1"/>
        </w:numPr>
        <w:tabs>
          <w:tab w:val="left" w:pos="770"/>
        </w:tabs>
        <w:spacing w:line="240" w:lineRule="auto"/>
        <w:ind w:firstLine="2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師生互動討論</w:t>
      </w:r>
      <w:r w:rsidR="002C77A3">
        <w:rPr>
          <w:rFonts w:ascii="標楷體" w:eastAsia="標楷體" w:hAnsi="標楷體" w:cs="標楷體"/>
          <w:sz w:val="24"/>
          <w:szCs w:val="24"/>
        </w:rPr>
        <w:t>習作</w:t>
      </w:r>
      <w:r>
        <w:rPr>
          <w:rFonts w:ascii="標楷體" w:eastAsia="標楷體" w:hAnsi="標楷體" w:cs="標楷體" w:hint="eastAsia"/>
          <w:sz w:val="24"/>
          <w:szCs w:val="24"/>
        </w:rPr>
        <w:t>題型練習</w:t>
      </w:r>
      <w:r w:rsidR="002C77A3">
        <w:rPr>
          <w:rFonts w:ascii="標楷體" w:eastAsia="標楷體" w:hAnsi="標楷體" w:cs="標楷體"/>
          <w:sz w:val="24"/>
          <w:szCs w:val="24"/>
        </w:rPr>
        <w:t>。</w:t>
      </w:r>
    </w:p>
    <w:p w:rsidR="007C7584" w:rsidRDefault="002C77A3">
      <w:pPr>
        <w:widowControl w:val="0"/>
        <w:numPr>
          <w:ilvl w:val="0"/>
          <w:numId w:val="1"/>
        </w:numPr>
        <w:tabs>
          <w:tab w:val="left" w:pos="770"/>
        </w:tabs>
        <w:spacing w:line="240" w:lineRule="auto"/>
        <w:ind w:firstLine="2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配合習作或單元主題，訂定作文題目，</w:t>
      </w:r>
      <w:r w:rsidR="00950391">
        <w:rPr>
          <w:rFonts w:ascii="標楷體" w:eastAsia="標楷體" w:hAnsi="標楷體" w:cs="標楷體" w:hint="eastAsia"/>
          <w:sz w:val="24"/>
          <w:szCs w:val="24"/>
        </w:rPr>
        <w:t>課堂</w:t>
      </w:r>
      <w:r w:rsidR="00950391">
        <w:rPr>
          <w:rFonts w:ascii="標楷體" w:eastAsia="標楷體" w:hAnsi="標楷體" w:cs="標楷體"/>
          <w:sz w:val="24"/>
          <w:szCs w:val="24"/>
        </w:rPr>
        <w:t>討論交流後學生</w:t>
      </w:r>
      <w:r>
        <w:rPr>
          <w:rFonts w:ascii="標楷體" w:eastAsia="標楷體" w:hAnsi="標楷體" w:cs="標楷體"/>
          <w:sz w:val="24"/>
          <w:szCs w:val="24"/>
        </w:rPr>
        <w:t>習寫作文。</w:t>
      </w:r>
    </w:p>
    <w:p w:rsidR="00AC1CFD" w:rsidRDefault="00AC1CFD" w:rsidP="00AC1CFD">
      <w:pPr>
        <w:widowControl w:val="0"/>
        <w:tabs>
          <w:tab w:val="left" w:pos="770"/>
        </w:tabs>
        <w:spacing w:line="240" w:lineRule="auto"/>
        <w:rPr>
          <w:rFonts w:ascii="標楷體" w:eastAsia="標楷體" w:hAnsi="標楷體" w:cs="標楷體"/>
          <w:sz w:val="24"/>
          <w:szCs w:val="24"/>
        </w:rPr>
      </w:pPr>
    </w:p>
    <w:p w:rsidR="007C7584" w:rsidRPr="00AC1CFD" w:rsidRDefault="002C77A3" w:rsidP="00950391">
      <w:pPr>
        <w:pStyle w:val="aa"/>
        <w:widowControl w:val="0"/>
        <w:numPr>
          <w:ilvl w:val="0"/>
          <w:numId w:val="6"/>
        </w:numPr>
        <w:spacing w:before="180" w:line="240" w:lineRule="auto"/>
        <w:ind w:leftChars="0"/>
        <w:rPr>
          <w:sz w:val="28"/>
          <w:szCs w:val="28"/>
        </w:rPr>
      </w:pPr>
      <w:r w:rsidRPr="00AC1CFD">
        <w:rPr>
          <w:rFonts w:ascii="標楷體" w:eastAsia="標楷體" w:hAnsi="標楷體" w:cs="標楷體"/>
          <w:b/>
          <w:sz w:val="28"/>
          <w:szCs w:val="28"/>
        </w:rPr>
        <w:t>評量方式及內容</w:t>
      </w:r>
      <w:r w:rsidRPr="00AC1CFD">
        <w:rPr>
          <w:rFonts w:ascii="標楷體" w:eastAsia="標楷體" w:hAnsi="標楷體" w:cs="標楷體"/>
          <w:sz w:val="28"/>
          <w:szCs w:val="28"/>
        </w:rPr>
        <w:t>：</w:t>
      </w:r>
    </w:p>
    <w:p w:rsidR="00950391" w:rsidRDefault="00950391" w:rsidP="00950391">
      <w:pPr>
        <w:widowControl w:val="0"/>
        <w:numPr>
          <w:ilvl w:val="0"/>
          <w:numId w:val="4"/>
        </w:numPr>
        <w:spacing w:line="240" w:lineRule="auto"/>
        <w:ind w:hanging="254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定期評量共佔</w:t>
      </w:r>
      <w:r w:rsidR="003F6FA1">
        <w:rPr>
          <w:rFonts w:ascii="標楷體" w:eastAsia="標楷體" w:hAnsi="標楷體" w:cs="標楷體" w:hint="eastAsia"/>
          <w:sz w:val="24"/>
          <w:szCs w:val="24"/>
        </w:rPr>
        <w:t>3</w:t>
      </w:r>
      <w:r>
        <w:rPr>
          <w:rFonts w:ascii="標楷體" w:eastAsia="標楷體" w:hAnsi="標楷體" w:cs="標楷體" w:hint="eastAsia"/>
          <w:sz w:val="24"/>
          <w:szCs w:val="24"/>
        </w:rPr>
        <w:t>0</w:t>
      </w:r>
      <w:r>
        <w:rPr>
          <w:rFonts w:ascii="標楷體" w:eastAsia="標楷體" w:hAnsi="標楷體" w:cs="標楷體"/>
          <w:sz w:val="24"/>
          <w:szCs w:val="24"/>
        </w:rPr>
        <w:t>％</w:t>
      </w:r>
      <w:r>
        <w:rPr>
          <w:rFonts w:ascii="標楷體" w:eastAsia="標楷體" w:hAnsi="標楷體" w:cs="標楷體" w:hint="eastAsia"/>
          <w:sz w:val="24"/>
          <w:szCs w:val="24"/>
        </w:rPr>
        <w:t>，包括以下兩個向度</w:t>
      </w:r>
    </w:p>
    <w:p w:rsidR="00950391" w:rsidRDefault="00950391" w:rsidP="00950391">
      <w:pPr>
        <w:widowControl w:val="0"/>
        <w:spacing w:line="240" w:lineRule="auto"/>
        <w:ind w:left="78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sym w:font="Wingdings" w:char="F081"/>
      </w:r>
      <w:r w:rsidR="002C77A3" w:rsidRPr="00950391">
        <w:rPr>
          <w:rFonts w:ascii="標楷體" w:eastAsia="標楷體" w:hAnsi="標楷體" w:cs="標楷體"/>
          <w:sz w:val="24"/>
          <w:szCs w:val="24"/>
        </w:rPr>
        <w:t>期中評量</w:t>
      </w:r>
      <w:r w:rsidR="003F6FA1">
        <w:rPr>
          <w:rFonts w:ascii="標楷體" w:eastAsia="標楷體" w:hAnsi="標楷體" w:cs="標楷體" w:hint="eastAsia"/>
          <w:sz w:val="24"/>
          <w:szCs w:val="24"/>
        </w:rPr>
        <w:t>15</w:t>
      </w:r>
      <w:r w:rsidRPr="00950391">
        <w:rPr>
          <w:rFonts w:ascii="標楷體" w:eastAsia="標楷體" w:hAnsi="標楷體" w:cs="標楷體"/>
          <w:sz w:val="24"/>
          <w:szCs w:val="24"/>
        </w:rPr>
        <w:t>％</w:t>
      </w:r>
    </w:p>
    <w:p w:rsidR="007C7584" w:rsidRPr="00950391" w:rsidRDefault="00950391" w:rsidP="00950391">
      <w:pPr>
        <w:widowControl w:val="0"/>
        <w:spacing w:line="240" w:lineRule="auto"/>
        <w:ind w:left="78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sym w:font="Wingdings" w:char="F082"/>
      </w:r>
      <w:r w:rsidR="002C77A3" w:rsidRPr="00950391">
        <w:rPr>
          <w:rFonts w:ascii="標楷體" w:eastAsia="標楷體" w:hAnsi="標楷體" w:cs="標楷體"/>
          <w:sz w:val="24"/>
          <w:szCs w:val="24"/>
        </w:rPr>
        <w:t>期末評量佔</w:t>
      </w:r>
      <w:r w:rsidR="003F6FA1">
        <w:rPr>
          <w:rFonts w:ascii="標楷體" w:eastAsia="標楷體" w:hAnsi="標楷體" w:cs="標楷體" w:hint="eastAsia"/>
          <w:sz w:val="24"/>
          <w:szCs w:val="24"/>
        </w:rPr>
        <w:t>15</w:t>
      </w:r>
      <w:r w:rsidR="002C77A3" w:rsidRPr="00950391">
        <w:rPr>
          <w:rFonts w:ascii="標楷體" w:eastAsia="標楷體" w:hAnsi="標楷體" w:cs="標楷體"/>
          <w:sz w:val="24"/>
          <w:szCs w:val="24"/>
        </w:rPr>
        <w:t>％</w:t>
      </w:r>
    </w:p>
    <w:p w:rsidR="00950391" w:rsidRDefault="00950391">
      <w:pPr>
        <w:widowControl w:val="0"/>
        <w:numPr>
          <w:ilvl w:val="0"/>
          <w:numId w:val="4"/>
        </w:numPr>
        <w:spacing w:line="240" w:lineRule="auto"/>
        <w:ind w:hanging="254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平時學習表現共佔</w:t>
      </w:r>
      <w:r w:rsidR="003F6FA1">
        <w:rPr>
          <w:rFonts w:ascii="標楷體" w:eastAsia="標楷體" w:hAnsi="標楷體" w:cs="標楷體" w:hint="eastAsia"/>
          <w:sz w:val="24"/>
          <w:szCs w:val="24"/>
        </w:rPr>
        <w:t>70</w:t>
      </w:r>
      <w:r>
        <w:rPr>
          <w:rFonts w:ascii="標楷體" w:eastAsia="標楷體" w:hAnsi="標楷體" w:cs="標楷體"/>
          <w:sz w:val="24"/>
          <w:szCs w:val="24"/>
        </w:rPr>
        <w:t>％</w:t>
      </w:r>
      <w:r>
        <w:rPr>
          <w:rFonts w:ascii="標楷體" w:eastAsia="標楷體" w:hAnsi="標楷體" w:cs="標楷體" w:hint="eastAsia"/>
          <w:sz w:val="24"/>
          <w:szCs w:val="24"/>
        </w:rPr>
        <w:t>，包括以下三個向度</w:t>
      </w:r>
    </w:p>
    <w:p w:rsidR="007C7584" w:rsidRDefault="00950391" w:rsidP="00950391">
      <w:pPr>
        <w:widowControl w:val="0"/>
        <w:spacing w:line="240" w:lineRule="auto"/>
        <w:ind w:left="78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sym w:font="Wingdings" w:char="F081"/>
      </w:r>
      <w:r w:rsidR="002C77A3">
        <w:rPr>
          <w:rFonts w:ascii="標楷體" w:eastAsia="標楷體" w:hAnsi="標楷體" w:cs="標楷體"/>
          <w:sz w:val="24"/>
          <w:szCs w:val="24"/>
        </w:rPr>
        <w:t>平時紙筆</w:t>
      </w:r>
      <w:r>
        <w:rPr>
          <w:rFonts w:ascii="標楷體" w:eastAsia="標楷體" w:hAnsi="標楷體" w:cs="標楷體" w:hint="eastAsia"/>
          <w:sz w:val="24"/>
          <w:szCs w:val="24"/>
        </w:rPr>
        <w:t>評量</w:t>
      </w:r>
      <w:r>
        <w:rPr>
          <w:rFonts w:ascii="標楷體" w:eastAsia="標楷體" w:hAnsi="標楷體" w:cs="標楷體"/>
          <w:sz w:val="24"/>
          <w:szCs w:val="24"/>
        </w:rPr>
        <w:t>（包括</w:t>
      </w:r>
      <w:r>
        <w:rPr>
          <w:rFonts w:ascii="標楷體" w:eastAsia="標楷體" w:hAnsi="標楷體" w:cs="標楷體" w:hint="eastAsia"/>
          <w:sz w:val="24"/>
          <w:szCs w:val="24"/>
        </w:rPr>
        <w:t>聽寫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平時測驗卷</w:t>
      </w:r>
      <w:r>
        <w:rPr>
          <w:rFonts w:ascii="標楷體" w:eastAsia="標楷體" w:hAnsi="標楷體" w:cs="標楷體"/>
          <w:sz w:val="24"/>
          <w:szCs w:val="24"/>
        </w:rPr>
        <w:t>等）</w:t>
      </w:r>
      <w:r w:rsidR="002C77A3">
        <w:rPr>
          <w:rFonts w:ascii="標楷體" w:eastAsia="標楷體" w:hAnsi="標楷體" w:cs="標楷體"/>
          <w:sz w:val="24"/>
          <w:szCs w:val="24"/>
        </w:rPr>
        <w:t>佔</w:t>
      </w:r>
      <w:r w:rsidR="0078447C">
        <w:rPr>
          <w:rFonts w:ascii="標楷體" w:eastAsia="標楷體" w:hAnsi="標楷體" w:cs="標楷體" w:hint="eastAsia"/>
          <w:sz w:val="24"/>
          <w:szCs w:val="24"/>
        </w:rPr>
        <w:t>3</w:t>
      </w:r>
      <w:r w:rsidR="002C77A3">
        <w:rPr>
          <w:rFonts w:ascii="標楷體" w:eastAsia="標楷體" w:hAnsi="標楷體" w:cs="標楷體"/>
          <w:sz w:val="24"/>
          <w:szCs w:val="24"/>
        </w:rPr>
        <w:t>0％</w:t>
      </w:r>
    </w:p>
    <w:p w:rsidR="007C7584" w:rsidRDefault="00950391" w:rsidP="00950391">
      <w:pPr>
        <w:widowControl w:val="0"/>
        <w:spacing w:line="240" w:lineRule="auto"/>
        <w:ind w:left="78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sym w:font="Wingdings" w:char="F082"/>
      </w:r>
      <w:r>
        <w:rPr>
          <w:rFonts w:ascii="標楷體" w:eastAsia="標楷體" w:hAnsi="標楷體" w:cs="標楷體"/>
          <w:sz w:val="24"/>
          <w:szCs w:val="24"/>
        </w:rPr>
        <w:t>平時作業</w:t>
      </w:r>
      <w:r>
        <w:rPr>
          <w:rFonts w:ascii="標楷體" w:eastAsia="標楷體" w:hAnsi="標楷體" w:cs="標楷體" w:hint="eastAsia"/>
          <w:sz w:val="24"/>
          <w:szCs w:val="24"/>
        </w:rPr>
        <w:t>表現</w:t>
      </w:r>
      <w:r>
        <w:rPr>
          <w:rFonts w:ascii="標楷體" w:eastAsia="標楷體" w:hAnsi="標楷體" w:cs="標楷體"/>
          <w:sz w:val="24"/>
          <w:szCs w:val="24"/>
        </w:rPr>
        <w:t>（包括預習單、甲</w:t>
      </w:r>
      <w:r w:rsidR="002C77A3">
        <w:rPr>
          <w:rFonts w:ascii="標楷體" w:eastAsia="標楷體" w:hAnsi="標楷體" w:cs="標楷體"/>
          <w:sz w:val="24"/>
          <w:szCs w:val="24"/>
        </w:rPr>
        <w:t>乙本、</w:t>
      </w:r>
      <w:r>
        <w:rPr>
          <w:rFonts w:ascii="標楷體" w:eastAsia="標楷體" w:hAnsi="標楷體" w:cs="標楷體"/>
          <w:sz w:val="24"/>
          <w:szCs w:val="24"/>
        </w:rPr>
        <w:t>國習、</w:t>
      </w:r>
      <w:r>
        <w:rPr>
          <w:rFonts w:ascii="標楷體" w:eastAsia="標楷體" w:hAnsi="標楷體" w:cs="標楷體" w:hint="eastAsia"/>
          <w:sz w:val="24"/>
          <w:szCs w:val="24"/>
        </w:rPr>
        <w:t>造句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週記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作文</w:t>
      </w:r>
      <w:r w:rsidR="002C77A3">
        <w:rPr>
          <w:rFonts w:ascii="標楷體" w:eastAsia="標楷體" w:hAnsi="標楷體" w:cs="標楷體"/>
          <w:sz w:val="24"/>
          <w:szCs w:val="24"/>
        </w:rPr>
        <w:t>等）佔</w:t>
      </w:r>
      <w:r w:rsidR="0078447C">
        <w:rPr>
          <w:rFonts w:ascii="標楷體" w:eastAsia="標楷體" w:hAnsi="標楷體" w:cs="標楷體" w:hint="eastAsia"/>
          <w:sz w:val="24"/>
          <w:szCs w:val="24"/>
        </w:rPr>
        <w:t>3</w:t>
      </w:r>
      <w:r w:rsidR="002C77A3">
        <w:rPr>
          <w:rFonts w:ascii="標楷體" w:eastAsia="標楷體" w:hAnsi="標楷體" w:cs="標楷體"/>
          <w:sz w:val="24"/>
          <w:szCs w:val="24"/>
        </w:rPr>
        <w:t>0％</w:t>
      </w:r>
    </w:p>
    <w:p w:rsidR="00AC1CFD" w:rsidRDefault="00950391" w:rsidP="00AC1CFD">
      <w:pPr>
        <w:widowControl w:val="0"/>
        <w:spacing w:line="240" w:lineRule="auto"/>
        <w:ind w:left="900"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sz w:val="24"/>
          <w:szCs w:val="24"/>
        </w:rPr>
        <w:sym w:font="Wingdings" w:char="F083"/>
      </w:r>
      <w:r w:rsidR="00AC1CFD">
        <w:rPr>
          <w:rFonts w:ascii="標楷體" w:eastAsia="標楷體" w:hAnsi="標楷體" w:cs="標楷體" w:hint="eastAsia"/>
          <w:sz w:val="24"/>
          <w:szCs w:val="24"/>
        </w:rPr>
        <w:t>課堂</w:t>
      </w:r>
      <w:r>
        <w:rPr>
          <w:rFonts w:ascii="標楷體" w:eastAsia="標楷體" w:hAnsi="標楷體" w:cs="標楷體" w:hint="eastAsia"/>
          <w:sz w:val="24"/>
          <w:szCs w:val="24"/>
        </w:rPr>
        <w:t>學習</w:t>
      </w:r>
      <w:r w:rsidR="00AC1CFD">
        <w:rPr>
          <w:rFonts w:ascii="標楷體" w:eastAsia="標楷體" w:hAnsi="標楷體" w:cs="標楷體" w:hint="eastAsia"/>
          <w:sz w:val="24"/>
          <w:szCs w:val="24"/>
        </w:rPr>
        <w:t>情形</w:t>
      </w:r>
      <w:r>
        <w:rPr>
          <w:rFonts w:ascii="標楷體" w:eastAsia="標楷體" w:hAnsi="標楷體" w:cs="標楷體"/>
          <w:sz w:val="24"/>
          <w:szCs w:val="24"/>
        </w:rPr>
        <w:t>（包括</w:t>
      </w:r>
      <w:r w:rsidR="002C77A3">
        <w:rPr>
          <w:rFonts w:ascii="標楷體" w:eastAsia="標楷體" w:hAnsi="標楷體" w:cs="標楷體"/>
          <w:sz w:val="24"/>
          <w:szCs w:val="24"/>
        </w:rPr>
        <w:t>上課態度</w:t>
      </w:r>
      <w:r>
        <w:rPr>
          <w:rFonts w:ascii="標楷體" w:eastAsia="標楷體" w:hAnsi="標楷體" w:cs="標楷體" w:hint="eastAsia"/>
          <w:sz w:val="24"/>
          <w:szCs w:val="24"/>
        </w:rPr>
        <w:t>、</w:t>
      </w:r>
      <w:r w:rsidR="00AC1CFD">
        <w:rPr>
          <w:rFonts w:ascii="標楷體" w:eastAsia="標楷體" w:hAnsi="標楷體" w:cs="標楷體" w:hint="eastAsia"/>
          <w:sz w:val="24"/>
          <w:szCs w:val="24"/>
        </w:rPr>
        <w:t>課堂參與、</w:t>
      </w:r>
      <w:r>
        <w:rPr>
          <w:rFonts w:ascii="標楷體" w:eastAsia="標楷體" w:hAnsi="標楷體" w:cs="標楷體" w:hint="eastAsia"/>
          <w:sz w:val="24"/>
          <w:szCs w:val="24"/>
        </w:rPr>
        <w:t>口頭發表、小組討論等</w:t>
      </w:r>
      <w:r>
        <w:rPr>
          <w:rFonts w:ascii="標楷體" w:eastAsia="標楷體" w:hAnsi="標楷體" w:cs="標楷體"/>
          <w:sz w:val="24"/>
          <w:szCs w:val="24"/>
        </w:rPr>
        <w:t>）</w:t>
      </w:r>
      <w:r w:rsidR="002C77A3">
        <w:rPr>
          <w:rFonts w:ascii="標楷體" w:eastAsia="標楷體" w:hAnsi="標楷體" w:cs="標楷體"/>
          <w:sz w:val="24"/>
          <w:szCs w:val="24"/>
        </w:rPr>
        <w:t>佔</w:t>
      </w:r>
      <w:r w:rsidR="0078447C">
        <w:rPr>
          <w:rFonts w:ascii="標楷體" w:eastAsia="標楷體" w:hAnsi="標楷體" w:cs="標楷體" w:hint="eastAsia"/>
          <w:sz w:val="24"/>
          <w:szCs w:val="24"/>
        </w:rPr>
        <w:t>1</w:t>
      </w:r>
      <w:bookmarkStart w:id="1" w:name="_GoBack"/>
      <w:bookmarkEnd w:id="1"/>
      <w:r w:rsidR="003F6FA1">
        <w:rPr>
          <w:rFonts w:ascii="標楷體" w:eastAsia="標楷體" w:hAnsi="標楷體" w:cs="標楷體" w:hint="eastAsia"/>
          <w:sz w:val="24"/>
          <w:szCs w:val="24"/>
        </w:rPr>
        <w:t>0</w:t>
      </w:r>
      <w:r w:rsidR="00AC1CFD">
        <w:rPr>
          <w:rFonts w:ascii="標楷體" w:eastAsia="標楷體" w:hAnsi="標楷體" w:cs="標楷體"/>
          <w:sz w:val="24"/>
          <w:szCs w:val="24"/>
        </w:rPr>
        <w:t>％</w:t>
      </w:r>
    </w:p>
    <w:p w:rsidR="00AC1CFD" w:rsidRDefault="00AC1CFD" w:rsidP="00AC1CFD">
      <w:pPr>
        <w:widowControl w:val="0"/>
        <w:spacing w:line="240" w:lineRule="auto"/>
        <w:rPr>
          <w:rFonts w:ascii="標楷體" w:eastAsia="標楷體" w:hAnsi="標楷體" w:cs="標楷體"/>
          <w:sz w:val="24"/>
          <w:szCs w:val="24"/>
        </w:rPr>
      </w:pPr>
    </w:p>
    <w:p w:rsidR="007C7584" w:rsidRPr="00AC1CFD" w:rsidRDefault="00AC1CFD" w:rsidP="00AC1CFD">
      <w:pPr>
        <w:widowControl w:val="0"/>
        <w:spacing w:line="240" w:lineRule="auto"/>
        <w:rPr>
          <w:sz w:val="28"/>
          <w:szCs w:val="28"/>
        </w:rPr>
      </w:pPr>
      <w:r w:rsidRPr="00AC1CFD"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="002C77A3" w:rsidRPr="00AC1CFD">
        <w:rPr>
          <w:rFonts w:ascii="標楷體" w:eastAsia="標楷體" w:hAnsi="標楷體" w:cs="標楷體"/>
          <w:b/>
          <w:sz w:val="28"/>
          <w:szCs w:val="28"/>
        </w:rPr>
        <w:t>、學生準備用品</w:t>
      </w:r>
      <w:r w:rsidR="002C77A3" w:rsidRPr="00AC1CFD">
        <w:rPr>
          <w:rFonts w:ascii="標楷體" w:eastAsia="標楷體" w:hAnsi="標楷體" w:cs="標楷體"/>
          <w:sz w:val="28"/>
          <w:szCs w:val="28"/>
        </w:rPr>
        <w:t>：</w:t>
      </w:r>
    </w:p>
    <w:p w:rsidR="007C7584" w:rsidRDefault="002C77A3">
      <w:pPr>
        <w:widowControl w:val="0"/>
        <w:spacing w:line="240" w:lineRule="auto"/>
        <w:ind w:firstLine="540"/>
      </w:pPr>
      <w:r>
        <w:rPr>
          <w:rFonts w:ascii="標楷體" w:eastAsia="標楷體" w:hAnsi="標楷體" w:cs="標楷體"/>
          <w:sz w:val="24"/>
          <w:szCs w:val="24"/>
        </w:rPr>
        <w:t>字辭典、</w:t>
      </w:r>
      <w:r w:rsidR="00AC1CFD">
        <w:rPr>
          <w:rFonts w:ascii="標楷體" w:eastAsia="標楷體" w:hAnsi="標楷體" w:cs="標楷體" w:hint="eastAsia"/>
          <w:sz w:val="24"/>
          <w:szCs w:val="24"/>
        </w:rPr>
        <w:t>螢光筆</w:t>
      </w:r>
      <w:r w:rsidR="00AC1CFD"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課本習作</w:t>
      </w:r>
      <w:r w:rsidR="00AC1CFD">
        <w:rPr>
          <w:rFonts w:ascii="標楷體" w:eastAsia="標楷體" w:hAnsi="標楷體" w:cs="標楷體" w:hint="eastAsia"/>
          <w:sz w:val="24"/>
          <w:szCs w:val="24"/>
        </w:rPr>
        <w:t>簿本</w:t>
      </w:r>
      <w:r>
        <w:rPr>
          <w:rFonts w:ascii="標楷體" w:eastAsia="標楷體" w:hAnsi="標楷體" w:cs="標楷體"/>
          <w:sz w:val="24"/>
          <w:szCs w:val="24"/>
        </w:rPr>
        <w:t>、</w:t>
      </w:r>
      <w:r w:rsidR="00AC1CFD">
        <w:rPr>
          <w:rFonts w:ascii="標楷體" w:eastAsia="標楷體" w:hAnsi="標楷體" w:cs="標楷體" w:hint="eastAsia"/>
          <w:sz w:val="24"/>
          <w:szCs w:val="24"/>
        </w:rPr>
        <w:t>查詢</w:t>
      </w:r>
      <w:r>
        <w:rPr>
          <w:rFonts w:ascii="標楷體" w:eastAsia="標楷體" w:hAnsi="標楷體" w:cs="標楷體"/>
          <w:sz w:val="24"/>
          <w:szCs w:val="24"/>
        </w:rPr>
        <w:t>相關資料</w:t>
      </w:r>
    </w:p>
    <w:p w:rsidR="00AC1CFD" w:rsidRDefault="00AC1CFD">
      <w:pPr>
        <w:widowControl w:val="0"/>
        <w:spacing w:before="180" w:line="240" w:lineRule="auto"/>
        <w:ind w:left="1562" w:hanging="1562"/>
        <w:rPr>
          <w:rFonts w:ascii="標楷體" w:eastAsia="標楷體" w:hAnsi="標楷體" w:cs="標楷體"/>
          <w:b/>
          <w:sz w:val="24"/>
          <w:szCs w:val="24"/>
        </w:rPr>
      </w:pPr>
    </w:p>
    <w:p w:rsidR="007C7584" w:rsidRPr="00AC1CFD" w:rsidRDefault="00AC1CFD">
      <w:pPr>
        <w:widowControl w:val="0"/>
        <w:spacing w:before="180" w:line="240" w:lineRule="auto"/>
        <w:ind w:left="1562" w:hanging="1562"/>
        <w:rPr>
          <w:sz w:val="28"/>
          <w:szCs w:val="28"/>
        </w:rPr>
      </w:pPr>
      <w:r w:rsidRPr="00AC1CFD">
        <w:rPr>
          <w:rFonts w:ascii="標楷體" w:eastAsia="標楷體" w:hAnsi="標楷體" w:cs="標楷體" w:hint="eastAsia"/>
          <w:b/>
          <w:sz w:val="28"/>
          <w:szCs w:val="28"/>
        </w:rPr>
        <w:t>七</w:t>
      </w:r>
      <w:r w:rsidR="002C77A3" w:rsidRPr="00AC1CFD">
        <w:rPr>
          <w:rFonts w:ascii="標楷體" w:eastAsia="標楷體" w:hAnsi="標楷體" w:cs="標楷體"/>
          <w:b/>
          <w:sz w:val="28"/>
          <w:szCs w:val="28"/>
        </w:rPr>
        <w:t>、家長配合鼓勵事項</w:t>
      </w:r>
      <w:r w:rsidR="002C77A3" w:rsidRPr="00AC1CFD">
        <w:rPr>
          <w:rFonts w:ascii="標楷體" w:eastAsia="標楷體" w:hAnsi="標楷體" w:cs="標楷體"/>
          <w:sz w:val="28"/>
          <w:szCs w:val="28"/>
        </w:rPr>
        <w:t>：</w:t>
      </w:r>
    </w:p>
    <w:p w:rsidR="007C7584" w:rsidRDefault="00AC1CFD">
      <w:pPr>
        <w:widowControl w:val="0"/>
        <w:numPr>
          <w:ilvl w:val="0"/>
          <w:numId w:val="5"/>
        </w:numPr>
        <w:spacing w:line="240" w:lineRule="auto"/>
        <w:ind w:left="798" w:hanging="258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提醒孩子課前預習</w:t>
      </w:r>
      <w:r w:rsidR="002C77A3"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課堂認真參與學習</w:t>
      </w:r>
      <w:r w:rsidR="002C77A3">
        <w:rPr>
          <w:rFonts w:ascii="標楷體" w:eastAsia="標楷體" w:hAnsi="標楷體" w:cs="標楷體"/>
          <w:sz w:val="24"/>
          <w:szCs w:val="24"/>
        </w:rPr>
        <w:t>，並幫助孩子養成</w:t>
      </w:r>
      <w:r>
        <w:rPr>
          <w:rFonts w:ascii="標楷體" w:eastAsia="標楷體" w:hAnsi="標楷體" w:cs="標楷體" w:hint="eastAsia"/>
          <w:sz w:val="24"/>
          <w:szCs w:val="24"/>
        </w:rPr>
        <w:t>課後</w:t>
      </w:r>
      <w:r w:rsidR="002C77A3">
        <w:rPr>
          <w:rFonts w:ascii="標楷體" w:eastAsia="標楷體" w:hAnsi="標楷體" w:cs="標楷體"/>
          <w:sz w:val="24"/>
          <w:szCs w:val="24"/>
        </w:rPr>
        <w:t>複習習慣。</w:t>
      </w:r>
    </w:p>
    <w:p w:rsidR="007C7584" w:rsidRDefault="002C77A3">
      <w:pPr>
        <w:widowControl w:val="0"/>
        <w:numPr>
          <w:ilvl w:val="0"/>
          <w:numId w:val="5"/>
        </w:numPr>
        <w:spacing w:line="240" w:lineRule="auto"/>
        <w:ind w:left="798" w:right="-874" w:hanging="258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常常和孩子聊聊天、鼓勵孩子用完整句子發表看法，多閱讀報紙和課外讀物。</w:t>
      </w:r>
    </w:p>
    <w:p w:rsidR="007C7584" w:rsidRDefault="002C77A3">
      <w:pPr>
        <w:widowControl w:val="0"/>
        <w:numPr>
          <w:ilvl w:val="0"/>
          <w:numId w:val="5"/>
        </w:numPr>
        <w:spacing w:line="240" w:lineRule="auto"/>
        <w:ind w:left="798" w:hanging="258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鼓勵並指導孩子作業</w:t>
      </w:r>
      <w:r w:rsidR="00AC1CFD">
        <w:rPr>
          <w:rFonts w:ascii="標楷體" w:eastAsia="標楷體" w:hAnsi="標楷體" w:cs="標楷體" w:hint="eastAsia"/>
          <w:sz w:val="24"/>
          <w:szCs w:val="24"/>
        </w:rPr>
        <w:t>認真</w:t>
      </w:r>
      <w:r>
        <w:rPr>
          <w:rFonts w:ascii="標楷體" w:eastAsia="標楷體" w:hAnsi="標楷體" w:cs="標楷體"/>
          <w:sz w:val="24"/>
          <w:szCs w:val="24"/>
        </w:rPr>
        <w:t>書寫，並養成</w:t>
      </w:r>
      <w:r>
        <w:rPr>
          <w:rFonts w:ascii="標楷體" w:eastAsia="標楷體" w:hAnsi="標楷體" w:cs="標楷體"/>
          <w:sz w:val="24"/>
          <w:szCs w:val="24"/>
          <w:u w:val="single"/>
        </w:rPr>
        <w:t>準時</w:t>
      </w:r>
      <w:r>
        <w:rPr>
          <w:rFonts w:ascii="標楷體" w:eastAsia="標楷體" w:hAnsi="標楷體" w:cs="標楷體"/>
          <w:sz w:val="24"/>
          <w:szCs w:val="24"/>
        </w:rPr>
        <w:t>繳交作業的</w:t>
      </w:r>
      <w:r w:rsidR="00AC1CFD">
        <w:rPr>
          <w:rFonts w:ascii="標楷體" w:eastAsia="標楷體" w:hAnsi="標楷體" w:cs="標楷體" w:hint="eastAsia"/>
          <w:sz w:val="24"/>
          <w:szCs w:val="24"/>
        </w:rPr>
        <w:t>好</w:t>
      </w:r>
      <w:r>
        <w:rPr>
          <w:rFonts w:ascii="標楷體" w:eastAsia="標楷體" w:hAnsi="標楷體" w:cs="標楷體"/>
          <w:sz w:val="24"/>
          <w:szCs w:val="24"/>
        </w:rPr>
        <w:t>習慣。</w:t>
      </w:r>
    </w:p>
    <w:p w:rsidR="007C7584" w:rsidRPr="003F6FA1" w:rsidRDefault="002C77A3" w:rsidP="003F6FA1">
      <w:pPr>
        <w:widowControl w:val="0"/>
        <w:numPr>
          <w:ilvl w:val="0"/>
          <w:numId w:val="5"/>
        </w:numPr>
        <w:spacing w:line="240" w:lineRule="auto"/>
        <w:ind w:left="798" w:hanging="258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考卷、作業發回要記得訂正，家長簽名、檢閱。</w:t>
      </w:r>
    </w:p>
    <w:sectPr w:rsidR="007C7584" w:rsidRPr="003F6FA1"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E8" w:rsidRDefault="00F722E8" w:rsidP="00950391">
      <w:pPr>
        <w:spacing w:line="240" w:lineRule="auto"/>
      </w:pPr>
      <w:r>
        <w:separator/>
      </w:r>
    </w:p>
  </w:endnote>
  <w:endnote w:type="continuationSeparator" w:id="0">
    <w:p w:rsidR="00F722E8" w:rsidRDefault="00F722E8" w:rsidP="00950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E8" w:rsidRDefault="00F722E8" w:rsidP="00950391">
      <w:pPr>
        <w:spacing w:line="240" w:lineRule="auto"/>
      </w:pPr>
      <w:r>
        <w:separator/>
      </w:r>
    </w:p>
  </w:footnote>
  <w:footnote w:type="continuationSeparator" w:id="0">
    <w:p w:rsidR="00F722E8" w:rsidRDefault="00F722E8" w:rsidP="009503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3A9"/>
    <w:multiLevelType w:val="hybridMultilevel"/>
    <w:tmpl w:val="83B08D26"/>
    <w:lvl w:ilvl="0" w:tplc="C3763480">
      <w:start w:val="5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E6249"/>
    <w:multiLevelType w:val="multilevel"/>
    <w:tmpl w:val="C192B23A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 w15:restartNumberingAfterBreak="0">
    <w:nsid w:val="30ED3F1A"/>
    <w:multiLevelType w:val="hybridMultilevel"/>
    <w:tmpl w:val="46D25C54"/>
    <w:lvl w:ilvl="0" w:tplc="B42EE60E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012452"/>
    <w:multiLevelType w:val="multilevel"/>
    <w:tmpl w:val="272E8A78"/>
    <w:lvl w:ilvl="0">
      <w:start w:val="1"/>
      <w:numFmt w:val="decimal"/>
      <w:lvlText w:val="%1."/>
      <w:lvlJc w:val="left"/>
      <w:pPr>
        <w:ind w:left="786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6" w:firstLine="90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6" w:firstLine="138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6" w:firstLine="1866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6" w:firstLine="234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6" w:firstLine="282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6" w:firstLine="3306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6" w:firstLine="378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6" w:firstLine="4266"/>
      </w:pPr>
      <w:rPr>
        <w:vertAlign w:val="baseline"/>
      </w:rPr>
    </w:lvl>
  </w:abstractNum>
  <w:abstractNum w:abstractNumId="4" w15:restartNumberingAfterBreak="0">
    <w:nsid w:val="40BA51A2"/>
    <w:multiLevelType w:val="multilevel"/>
    <w:tmpl w:val="F8FEC5CA"/>
    <w:lvl w:ilvl="0">
      <w:start w:val="1"/>
      <w:numFmt w:val="decimal"/>
      <w:lvlText w:val="%1、"/>
      <w:lvlJc w:val="left"/>
      <w:pPr>
        <w:ind w:left="5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" w15:restartNumberingAfterBreak="0">
    <w:nsid w:val="44CA4391"/>
    <w:multiLevelType w:val="multilevel"/>
    <w:tmpl w:val="BD6098B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6" w15:restartNumberingAfterBreak="0">
    <w:nsid w:val="7A014EE8"/>
    <w:multiLevelType w:val="multilevel"/>
    <w:tmpl w:val="B6F41D62"/>
    <w:lvl w:ilvl="0">
      <w:start w:val="1"/>
      <w:numFmt w:val="decimal"/>
      <w:lvlText w:val="%1."/>
      <w:lvlJc w:val="left"/>
      <w:pPr>
        <w:ind w:left="786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6" w:firstLine="90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6" w:firstLine="138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6" w:firstLine="1866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6" w:firstLine="234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6" w:firstLine="282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6" w:firstLine="3306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6" w:firstLine="378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6" w:firstLine="4266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84"/>
    <w:rsid w:val="001B21F6"/>
    <w:rsid w:val="002C77A3"/>
    <w:rsid w:val="002F368A"/>
    <w:rsid w:val="003F6FA1"/>
    <w:rsid w:val="004C192B"/>
    <w:rsid w:val="006A72C0"/>
    <w:rsid w:val="0078447C"/>
    <w:rsid w:val="007C7584"/>
    <w:rsid w:val="00950391"/>
    <w:rsid w:val="00AC1CFD"/>
    <w:rsid w:val="00BE1FD2"/>
    <w:rsid w:val="00C35777"/>
    <w:rsid w:val="00F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35E9A8-7F4E-49A9-B89C-B506EB5E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950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03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0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0391"/>
    <w:rPr>
      <w:sz w:val="20"/>
      <w:szCs w:val="20"/>
    </w:rPr>
  </w:style>
  <w:style w:type="paragraph" w:styleId="aa">
    <w:name w:val="List Paragraph"/>
    <w:basedOn w:val="a"/>
    <w:uiPriority w:val="34"/>
    <w:qFormat/>
    <w:rsid w:val="00950391"/>
    <w:pPr>
      <w:ind w:leftChars="200" w:left="480"/>
    </w:pPr>
  </w:style>
  <w:style w:type="character" w:styleId="ab">
    <w:name w:val="Hyperlink"/>
    <w:basedOn w:val="a0"/>
    <w:uiPriority w:val="99"/>
    <w:unhideWhenUsed/>
    <w:rsid w:val="006A7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edu.tw/wiki/index.php/%E5%AD%B8%E7%BF%92%E8%B3%87%E6%BA%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tent.edu.tw/wiki/index.php/%E6%90%9C%E5%B0%8B%E5%BC%95%E6%93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2017-09-15T09:55:00Z</dcterms:created>
  <dcterms:modified xsi:type="dcterms:W3CDTF">2017-09-16T01:54:00Z</dcterms:modified>
</cp:coreProperties>
</file>