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380" w:lineRule="exact"/>
        <w:jc w:val="center"/>
        <w:rPr>
          <w:rFonts w:ascii="標楷體" w:eastAsia="標楷體"/>
          <w:b/>
          <w:bCs/>
          <w:sz w:val="28"/>
        </w:rPr>
      </w:pPr>
      <w:r>
        <w:rPr>
          <w:rFonts w:hint="eastAsia" w:ascii="標楷體" w:eastAsia="標楷體"/>
          <w:b/>
          <w:bCs/>
          <w:sz w:val="28"/>
        </w:rPr>
        <w:t>新北市新莊區豐年國民小學10</w:t>
      </w:r>
      <w:r>
        <w:rPr>
          <w:rFonts w:ascii="標楷體" w:eastAsia="標楷體"/>
          <w:b/>
          <w:bCs/>
          <w:sz w:val="28"/>
        </w:rPr>
        <w:t>9</w:t>
      </w:r>
      <w:r>
        <w:rPr>
          <w:rFonts w:hint="eastAsia" w:ascii="標楷體" w:eastAsia="標楷體"/>
          <w:b/>
          <w:bCs/>
          <w:sz w:val="28"/>
        </w:rPr>
        <w:t>學年度 一年五班 班級經營計畫</w:t>
      </w:r>
    </w:p>
    <w:p>
      <w:pPr>
        <w:snapToGrid w:val="0"/>
        <w:spacing w:line="380" w:lineRule="exact"/>
        <w:jc w:val="center"/>
        <w:rPr>
          <w:rFonts w:ascii="標楷體" w:eastAsia="標楷體"/>
          <w:b/>
        </w:rPr>
      </w:pPr>
      <w:r>
        <w:rPr>
          <w:rFonts w:hint="eastAsia" w:ascii="標楷體" w:eastAsia="標楷體"/>
          <w:b/>
        </w:rPr>
        <w:t>級任教師：趙律莘    老師連絡電話：0938882590   學校請假專線：2204-6872</w:t>
      </w:r>
    </w:p>
    <w:tbl>
      <w:tblPr>
        <w:tblpPr w:leftFromText="180" w:rightFromText="180" w:vertAnchor="page" w:horzAnchor="margin" w:tblpXSpec="center" w:tblpY="1932"/>
        <w:tblW w:w="97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</w:tblPr>
      <w:tblGrid>
        <w:gridCol w:w="658"/>
        <w:gridCol w:w="450"/>
        <w:gridCol w:w="8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1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ind w:left="60" w:leftChars="25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班級概況</w:t>
            </w:r>
          </w:p>
        </w:tc>
        <w:tc>
          <w:tcPr>
            <w:tcW w:w="86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ind w:firstLine="720" w:firstLineChars="300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男　生（ 13 ）人，女　生（ 1</w:t>
            </w:r>
            <w:r>
              <w:rPr>
                <w:rFonts w:ascii="標楷體" w:eastAsia="標楷體"/>
                <w:sz w:val="24"/>
                <w:szCs w:val="24"/>
              </w:rPr>
              <w:t>4</w:t>
            </w:r>
            <w:r>
              <w:rPr>
                <w:rFonts w:hint="eastAsia" w:ascii="標楷體" w:eastAsia="標楷體"/>
                <w:sz w:val="24"/>
                <w:szCs w:val="24"/>
              </w:rPr>
              <w:t xml:space="preserve"> ）人，合　計（ 2</w:t>
            </w:r>
            <w:r>
              <w:rPr>
                <w:rFonts w:ascii="標楷體" w:eastAsia="標楷體"/>
                <w:sz w:val="24"/>
                <w:szCs w:val="24"/>
              </w:rPr>
              <w:t>7</w:t>
            </w:r>
            <w:r>
              <w:rPr>
                <w:rFonts w:hint="eastAsia" w:ascii="標楷體" w:eastAsia="標楷體"/>
                <w:sz w:val="24"/>
                <w:szCs w:val="24"/>
              </w:rPr>
              <w:t xml:space="preserve"> ）人。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500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標楷體" w:eastAsia="標楷體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>班級願景</w:t>
            </w:r>
          </w:p>
        </w:tc>
        <w:tc>
          <w:tcPr>
            <w:tcW w:w="9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pStyle w:val="11"/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愛清潔</w:t>
            </w:r>
            <w:r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  <w:t>：能收拾、整理好自己的書包、書桌、書櫃、抽屜，垃圾要丟在垃圾桶裡。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</w:t>
            </w:r>
            <w:r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  <w:t xml:space="preserve">    </w:t>
            </w:r>
          </w:p>
          <w:p>
            <w:pPr>
              <w:pStyle w:val="11"/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有禮貌</w:t>
            </w:r>
            <w:r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  <w:t>：每天來上學的過程中能和家人、導護老師、志工、同學、導師說早安。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 </w:t>
            </w:r>
            <w:r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  <w:t xml:space="preserve">  </w:t>
            </w:r>
          </w:p>
          <w:p>
            <w:pPr>
              <w:pStyle w:val="11"/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  <w:t xml:space="preserve">守秩序：上課要認真的聽老師講課，說話要舉手，上課不能離開座位。     </w:t>
            </w:r>
          </w:p>
          <w:p>
            <w:pPr>
              <w:pStyle w:val="11"/>
              <w:rPr>
                <w:rFonts w:hint="eastAsia"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sz w:val="24"/>
                <w:szCs w:val="24"/>
              </w:rPr>
              <w:t>樂學習</w:t>
            </w:r>
            <w:r>
              <w:rPr>
                <w:rFonts w:hint="eastAsia" w:ascii="標楷體" w:hAnsi="標楷體" w:eastAsia="標楷體"/>
                <w:sz w:val="24"/>
                <w:szCs w:val="24"/>
                <w:lang w:val="en-US" w:eastAsia="zh-TW"/>
              </w:rPr>
              <w:t>：每天按時交功課</w:t>
            </w:r>
            <w:r>
              <w:rPr>
                <w:rFonts w:ascii="標楷體" w:hAnsi="標楷體" w:eastAsia="標楷體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包含各科習作及考卷</w:t>
            </w:r>
            <w:r>
              <w:rPr>
                <w:rFonts w:hint="eastAsia" w:ascii="標楷體" w:hAnsi="標楷體" w:eastAsia="標楷體"/>
                <w:b w:val="0"/>
                <w:bCs/>
                <w:color w:val="000000"/>
                <w:sz w:val="24"/>
                <w:szCs w:val="24"/>
              </w:rPr>
              <w:t>訂簽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的功課</w:t>
            </w:r>
            <w:r>
              <w:rPr>
                <w:rFonts w:ascii="標楷體" w:hAnsi="標楷體" w:eastAsia="標楷體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標楷體" w:hAnsi="標楷體" w:eastAsia="標楷體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1684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教學提要</w:t>
            </w:r>
          </w:p>
        </w:tc>
        <w:tc>
          <w:tcPr>
            <w:tcW w:w="9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以學生為主，設計適當的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遊戲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活動，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來增進學生的學習意願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，老師從旁協助完成學</w:t>
            </w:r>
          </w:p>
          <w:p>
            <w:pPr>
              <w:numPr>
                <w:numId w:val="0"/>
              </w:numPr>
              <w:spacing w:line="320" w:lineRule="exact"/>
              <w:ind w:firstLine="480" w:firstLineChars="200"/>
              <w:jc w:val="both"/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習；透過同儕互動方式，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讓學生從做中學習，或是參仿同學的方式來增進自己的能</w:t>
            </w:r>
          </w:p>
          <w:p>
            <w:pPr>
              <w:numPr>
                <w:numId w:val="0"/>
              </w:numPr>
              <w:spacing w:line="320" w:lineRule="exact"/>
              <w:ind w:firstLine="480" w:firstLineChars="200"/>
              <w:jc w:val="both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力；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針對孩子的個別能力，提供多元學習及自學的空間。</w:t>
            </w:r>
          </w:p>
          <w:p>
            <w:pPr>
              <w:spacing w:line="320" w:lineRule="exact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二、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晨間活動  8:00~8:40</w:t>
            </w:r>
          </w:p>
          <w:tbl>
            <w:tblPr>
              <w:tblpPr w:leftFromText="180" w:rightFromText="180" w:vertAnchor="text" w:horzAnchor="page" w:tblpX="541" w:tblpY="181"/>
              <w:tblOverlap w:val="never"/>
              <w:tblW w:w="720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440"/>
              <w:gridCol w:w="1440"/>
              <w:gridCol w:w="1440"/>
              <w:gridCol w:w="14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星期一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星期二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星期三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星期四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星期五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導師時間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讀經時間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班級共讀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導師時間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line="320" w:lineRule="exact"/>
                    <w:jc w:val="center"/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標楷體" w:hAnsi="標楷體" w:eastAsia="標楷體"/>
                      <w:color w:val="000000"/>
                      <w:sz w:val="24"/>
                      <w:szCs w:val="24"/>
                    </w:rPr>
                    <w:t>說故事時間</w:t>
                  </w:r>
                </w:p>
              </w:tc>
            </w:tr>
          </w:tbl>
          <w:p>
            <w:pPr>
              <w:spacing w:line="320" w:lineRule="exact"/>
              <w:ind w:left="680" w:leftChars="100" w:hanging="440" w:hangingChars="200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680" w:leftChars="100" w:hanging="440" w:hangingChars="200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left="680" w:leftChars="100" w:hanging="440" w:hangingChars="200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</w:tabs>
              <w:spacing w:line="320" w:lineRule="exact"/>
              <w:ind w:left="360" w:hanging="360"/>
              <w:jc w:val="both"/>
              <w:rPr>
                <w:rFonts w:ascii="標楷體" w:hAnsi="標楷體" w:eastAsia="標楷體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標楷體" w:hAnsi="標楷體" w:eastAsia="標楷體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標楷體" w:hAnsi="標楷體" w:eastAsia="標楷體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int="eastAsia" w:ascii="標楷體" w:hAnsi="標楷體" w:eastAsia="標楷體"/>
                <w:b/>
                <w:bCs/>
                <w:color w:val="000000"/>
                <w:sz w:val="24"/>
                <w:szCs w:val="24"/>
              </w:rPr>
              <w:t>數學科</w:t>
            </w:r>
          </w:p>
          <w:p>
            <w:pPr>
              <w:pStyle w:val="2"/>
              <w:tabs>
                <w:tab w:val="left" w:pos="840"/>
              </w:tabs>
              <w:spacing w:line="320" w:lineRule="exact"/>
              <w:ind w:left="0" w:firstLine="220" w:firstLineChars="100"/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</w:rPr>
              <w:t>(1)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分析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各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單元內學生所需習得的基本概念以及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應用生活中的情境來教學，讓孩子更</w:t>
            </w:r>
          </w:p>
          <w:p>
            <w:pPr>
              <w:pStyle w:val="2"/>
              <w:tabs>
                <w:tab w:val="left" w:pos="840"/>
              </w:tabs>
              <w:spacing w:line="320" w:lineRule="exact"/>
              <w:ind w:left="0" w:firstLine="220" w:firstLineChars="100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 xml:space="preserve">   能感受數學在生活中的應用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tabs>
                <w:tab w:val="left" w:pos="840"/>
              </w:tabs>
              <w:spacing w:line="320" w:lineRule="exact"/>
              <w:ind w:left="0" w:firstLine="220" w:firstLineChars="100"/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</w:rPr>
              <w:t>將孩子的生活經驗融入在課程之中，讓孩子可以在自然的情境下學習數學；培養</w:t>
            </w:r>
          </w:p>
          <w:p>
            <w:pPr>
              <w:pStyle w:val="2"/>
              <w:numPr>
                <w:numId w:val="0"/>
              </w:numPr>
              <w:tabs>
                <w:tab w:val="left" w:pos="840"/>
              </w:tabs>
              <w:spacing w:line="320" w:lineRule="exact"/>
              <w:ind w:leftChars="100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  <w:lang w:val="en-US" w:eastAsia="zh-TW"/>
              </w:rPr>
              <w:t xml:space="preserve">   </w:t>
            </w:r>
            <w:r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</w:rPr>
              <w:t>解決問題的能力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。</w:t>
            </w:r>
          </w:p>
          <w:p>
            <w:pPr>
              <w:tabs>
                <w:tab w:val="left" w:pos="360"/>
              </w:tabs>
              <w:spacing w:line="320" w:lineRule="exact"/>
              <w:ind w:left="360" w:hanging="360"/>
              <w:jc w:val="both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</w:rPr>
              <w:t>4.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國語科</w:t>
            </w:r>
          </w:p>
          <w:p>
            <w:pPr>
              <w:tabs>
                <w:tab w:val="left" w:pos="840"/>
              </w:tabs>
              <w:spacing w:line="320" w:lineRule="exact"/>
              <w:ind w:left="479" w:leftChars="108" w:hanging="220" w:hangingChars="100"/>
              <w:jc w:val="both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 xml:space="preserve">(1)閱讀：1.共讀活動  </w:t>
            </w:r>
          </w:p>
          <w:p>
            <w:pPr>
              <w:tabs>
                <w:tab w:val="left" w:pos="840"/>
              </w:tabs>
              <w:spacing w:line="320" w:lineRule="exact"/>
              <w:ind w:left="479" w:leftChars="108" w:hanging="220" w:hangingChars="100"/>
              <w:jc w:val="both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 xml:space="preserve">         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 xml:space="preserve">2.班級圖書(新生入學書籍，首冊上完)  </w:t>
            </w:r>
          </w:p>
          <w:p>
            <w:pPr>
              <w:tabs>
                <w:tab w:val="left" w:pos="840"/>
              </w:tabs>
              <w:spacing w:line="320" w:lineRule="exact"/>
              <w:ind w:left="479" w:leftChars="108" w:hanging="220" w:hangingChars="100"/>
              <w:jc w:val="both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 xml:space="preserve">         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 xml:space="preserve">3.班級書箱輪讀和學年共讀書箱。 </w:t>
            </w:r>
          </w:p>
          <w:p>
            <w:pPr>
              <w:tabs>
                <w:tab w:val="left" w:pos="840"/>
              </w:tabs>
              <w:spacing w:line="320" w:lineRule="exact"/>
              <w:ind w:left="479" w:leftChars="108" w:hanging="220" w:hangingChars="100"/>
              <w:jc w:val="both"/>
              <w:rPr>
                <w:rFonts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eastAsia="標楷體"/>
                <w:color w:val="000000"/>
                <w:sz w:val="24"/>
                <w:szCs w:val="24"/>
              </w:rPr>
              <w:t>(2)</w:t>
            </w:r>
            <w:r>
              <w:rPr>
                <w:rFonts w:hint="eastAsia" w:ascii="標楷體" w:hAnsi="標楷體" w:eastAsia="標楷體"/>
                <w:b/>
                <w:color w:val="000000"/>
                <w:sz w:val="24"/>
                <w:szCs w:val="24"/>
              </w:rPr>
              <w:t>說話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：眼睛看說話的人，靜心聽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後想一想，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鼓勵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舉手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發表，能專心聆聽，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注意同學說過的意見，不要重複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left="1359" w:leftChars="108" w:hanging="1100" w:hangingChars="500"/>
              <w:jc w:val="both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(3)寫：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注音符號的筆順要正確，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執筆、書寫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要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工整。</w:t>
            </w:r>
          </w:p>
          <w:p>
            <w:pPr>
              <w:spacing w:line="320" w:lineRule="exact"/>
              <w:ind w:left="1359" w:leftChars="108" w:hanging="1100" w:hangingChars="500"/>
              <w:jc w:val="both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(4)聽：上課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的課文內文，要求孩子用手指頭比然後跟著其他同學一起唸課文。</w:t>
            </w:r>
          </w:p>
          <w:p>
            <w:pPr>
              <w:tabs>
                <w:tab w:val="left" w:pos="360"/>
              </w:tabs>
              <w:spacing w:line="320" w:lineRule="exact"/>
              <w:jc w:val="both"/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5.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生活科</w:t>
            </w:r>
          </w:p>
          <w:p>
            <w:pPr>
              <w:tabs>
                <w:tab w:val="left" w:pos="360"/>
              </w:tabs>
              <w:spacing w:line="320" w:lineRule="exact"/>
              <w:jc w:val="both"/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 xml:space="preserve">  (1)</w:t>
            </w:r>
            <w:r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</w:rPr>
              <w:t>帶領孩子學習學校生活、</w:t>
            </w:r>
            <w:r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  <w:lang w:val="en-US" w:eastAsia="zh-TW"/>
              </w:rPr>
              <w:t>鼓勵孩子自己動手做，學習</w:t>
            </w:r>
            <w:r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</w:rPr>
              <w:t>生活中的知識和技能</w:t>
            </w:r>
          </w:p>
          <w:p>
            <w:pPr>
              <w:tabs>
                <w:tab w:val="left" w:pos="360"/>
              </w:tabs>
              <w:spacing w:line="320" w:lineRule="exact"/>
              <w:jc w:val="both"/>
              <w:rPr>
                <w:rFonts w:ascii="標楷體" w:hAns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  <w:lang w:val="en-US" w:eastAsia="zh-TW"/>
              </w:rPr>
              <w:t xml:space="preserve">  (2)</w:t>
            </w:r>
            <w:r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</w:rPr>
              <w:t>結合學校活動和節慶的活動，同時培養孩子對環境的感受性。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1223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評量方式</w:t>
            </w:r>
          </w:p>
        </w:tc>
        <w:tc>
          <w:tcPr>
            <w:tcW w:w="9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numPr>
                <w:ilvl w:val="0"/>
                <w:numId w:val="3"/>
              </w:numPr>
              <w:adjustRightInd w:val="0"/>
              <w:ind w:left="360" w:hanging="360" w:hangingChars="150"/>
              <w:jc w:val="both"/>
              <w:rPr>
                <w:rFonts w:hint="eastAsia"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 xml:space="preserve">平時成績計算：成績占60%     </w:t>
            </w:r>
          </w:p>
          <w:p>
            <w:pPr>
              <w:numPr>
                <w:numId w:val="0"/>
              </w:numPr>
              <w:adjustRightInd w:val="0"/>
              <w:ind w:leftChars="-150"/>
              <w:jc w:val="both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 xml:space="preserve">      </w:t>
            </w:r>
            <w:r>
              <w:rPr>
                <w:rFonts w:hint="eastAsia" w:ascii="標楷體" w:eastAsia="標楷體"/>
                <w:sz w:val="24"/>
                <w:szCs w:val="24"/>
              </w:rPr>
              <w:t>評量方式包括(平時考試、考卷、習作、作業簿、學習單</w:t>
            </w: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>等作業和紙筆測驗…)</w:t>
            </w:r>
          </w:p>
          <w:p>
            <w:pPr>
              <w:numPr>
                <w:ilvl w:val="0"/>
                <w:numId w:val="4"/>
              </w:numPr>
              <w:adjustRightInd w:val="0"/>
              <w:jc w:val="both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定期評量成績計算</w:t>
            </w: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>(每學期兩次)</w:t>
            </w:r>
            <w:r>
              <w:rPr>
                <w:rFonts w:hint="eastAsia" w:ascii="標楷體" w:eastAsia="標楷體"/>
                <w:sz w:val="24"/>
                <w:szCs w:val="24"/>
              </w:rPr>
              <w:t>：成績占40%</w:t>
            </w: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 xml:space="preserve">  </w:t>
            </w:r>
          </w:p>
          <w:p>
            <w:pPr>
              <w:numPr>
                <w:numId w:val="0"/>
              </w:numPr>
              <w:adjustRightInd w:val="0"/>
              <w:jc w:val="both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 xml:space="preserve">   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一年級上學期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期中考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只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考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注音符號檢測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期末評量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考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國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語和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數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學。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jc w:val="both"/>
              <w:rPr>
                <w:rFonts w:hint="eastAsia"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 xml:space="preserve">   期中考和期末考</w:t>
            </w: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>二</w:t>
            </w:r>
            <w:r>
              <w:rPr>
                <w:rFonts w:hint="eastAsia" w:ascii="標楷體" w:eastAsia="標楷體"/>
                <w:sz w:val="24"/>
                <w:szCs w:val="24"/>
              </w:rPr>
              <w:t>科目的定期評量(國語、數學)</w:t>
            </w:r>
          </w:p>
          <w:p>
            <w:pPr>
              <w:numPr>
                <w:numId w:val="0"/>
              </w:numPr>
              <w:adjustRightInd w:val="0"/>
              <w:ind w:leftChars="-150"/>
              <w:jc w:val="both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 xml:space="preserve">   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、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學期總成績計算：在評量方式上除了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作業和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紙筆測驗之外，還包括了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課堂上的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發表、</w:t>
            </w:r>
          </w:p>
          <w:p>
            <w:pPr>
              <w:numPr>
                <w:numId w:val="0"/>
              </w:numPr>
              <w:adjustRightInd w:val="0"/>
              <w:ind w:leftChars="-150"/>
              <w:jc w:val="both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 xml:space="preserve">      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操作</w:t>
            </w:r>
            <w:r>
              <w:rPr>
                <w:rFonts w:hint="eastAsia" w:ascii="標楷體" w:eastAsia="標楷體"/>
                <w:sz w:val="24"/>
                <w:szCs w:val="24"/>
              </w:rPr>
              <w:t>、學習態度、上課認真度、生活常規等成績…)</w:t>
            </w:r>
          </w:p>
          <w:p>
            <w:pPr>
              <w:adjustRightInd w:val="0"/>
              <w:jc w:val="both"/>
              <w:rPr>
                <w:rFonts w:hint="eastAsia"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總結：期末各科的成績是學生一學期的所有表現的總成績，包括紙筆成績、操性成績，</w:t>
            </w:r>
          </w:p>
          <w:p>
            <w:pPr>
              <w:adjustRightInd w:val="0"/>
              <w:jc w:val="both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 xml:space="preserve">   </w:t>
            </w:r>
            <w:r>
              <w:rPr>
                <w:rFonts w:hint="eastAsia" w:ascii="標楷體" w:eastAsia="標楷體"/>
                <w:sz w:val="24"/>
                <w:szCs w:val="24"/>
              </w:rPr>
              <w:t>所以請家長多多鼓勵學生平時的學習。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741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科任教師</w:t>
            </w:r>
          </w:p>
        </w:tc>
        <w:tc>
          <w:tcPr>
            <w:tcW w:w="9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adjustRightInd w:val="0"/>
              <w:jc w:val="both"/>
              <w:rPr>
                <w:rFonts w:hint="eastAsia"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 xml:space="preserve">英文：姚佳汝老師  </w:t>
            </w: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 xml:space="preserve">         </w:t>
            </w:r>
            <w:r>
              <w:rPr>
                <w:rFonts w:hint="eastAsia" w:ascii="標楷體" w:eastAsia="標楷體"/>
                <w:sz w:val="24"/>
                <w:szCs w:val="24"/>
              </w:rPr>
              <w:t xml:space="preserve">體育：吳宇澄老師  </w:t>
            </w:r>
          </w:p>
          <w:p>
            <w:pPr>
              <w:adjustRightInd w:val="0"/>
              <w:jc w:val="both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健康</w:t>
            </w: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>、</w:t>
            </w:r>
            <w:r>
              <w:rPr>
                <w:rFonts w:hint="eastAsia" w:ascii="標楷體" w:eastAsia="標楷體"/>
                <w:sz w:val="24"/>
                <w:szCs w:val="24"/>
              </w:rPr>
              <w:t xml:space="preserve">閱讀：賀梅娟老師  </w:t>
            </w:r>
            <w:r>
              <w:rPr>
                <w:rFonts w:hint="eastAsia" w:ascii="標楷體" w:eastAsia="標楷體"/>
                <w:sz w:val="24"/>
                <w:szCs w:val="24"/>
                <w:lang w:val="en-US" w:eastAsia="zh-TW"/>
              </w:rPr>
              <w:t xml:space="preserve">   </w:t>
            </w:r>
            <w:r>
              <w:rPr>
                <w:rFonts w:hint="eastAsia" w:ascii="標楷體" w:eastAsia="標楷體"/>
                <w:sz w:val="24"/>
                <w:szCs w:val="24"/>
              </w:rPr>
              <w:t>音樂：林羿彣老師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957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班級角落</w:t>
            </w:r>
          </w:p>
        </w:tc>
        <w:tc>
          <w:tcPr>
            <w:tcW w:w="9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rPr>
                <w:rFonts w:ascii="標楷體" w:hAnsi="標楷體" w:eastAsia="標楷體" w:cs="Arial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標楷體" w:hAnsi="標楷體" w:eastAsia="標楷體" w:cs="Arial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設置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  <w:lang w:val="en-US" w:eastAsia="zh-TW"/>
              </w:rPr>
              <w:t>圖書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櫃：在教室固定角落放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置班級圖書，讓孩子下課和課餘時間自由閱讀學習。</w:t>
            </w:r>
          </w:p>
          <w:p>
            <w:pPr>
              <w:snapToGrid w:val="0"/>
              <w:ind w:left="360" w:hanging="360" w:hangingChars="150"/>
              <w:jc w:val="both"/>
              <w:rPr>
                <w:rFonts w:ascii="標楷體" w:hAnsi="標楷體" w:eastAsia="標楷體" w:cs="Arial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2、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設置玩具角：放置象棋、跳棋、益智遊戲、扯鈴、毽子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  <w:lang w:val="en-US" w:eastAsia="zh-TW"/>
              </w:rPr>
              <w:t>、積木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，讓孩子下課時，多一個和同學相處的機會。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1118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</w:rPr>
            </w:pPr>
          </w:p>
          <w:p>
            <w:pPr>
              <w:ind w:left="113" w:right="113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榮譽制度</w:t>
            </w:r>
          </w:p>
          <w:p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</w:rPr>
            </w:pPr>
          </w:p>
        </w:tc>
        <w:tc>
          <w:tcPr>
            <w:tcW w:w="9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widowControl/>
              <w:ind w:left="420" w:leftChars="25" w:hanging="360" w:hangingChars="150"/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  <w:t>以獎賞鼓勵孩子有好的表現，也可作為其他孩子學習的榜樣，革除不良的行為</w:t>
            </w:r>
          </w:p>
          <w:p>
            <w:pPr>
              <w:widowControl/>
              <w:ind w:left="420" w:leftChars="25" w:hanging="360" w:hangingChars="150"/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  <w:t>獎勵方式：(團體)整排或個人只要有好表現，被老師畫2 個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  <w:t>㊣字，可獲得一張紅心卡</w:t>
            </w:r>
          </w:p>
          <w:p>
            <w:pPr>
              <w:spacing w:line="320" w:lineRule="exact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  <w:t>事蹟：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(1)有具體優良事實例如：常常幫助同學、當老師的小幫手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、自動撿垃圾等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。</w:t>
            </w:r>
          </w:p>
          <w:p>
            <w:pPr>
              <w:spacing w:line="320" w:lineRule="exact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 xml:space="preserve">       (2)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遵守上課秩序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、作業認真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書寫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。</w:t>
            </w:r>
          </w:p>
          <w:p>
            <w:pPr>
              <w:spacing w:line="320" w:lineRule="exact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 xml:space="preserve">       (3)參加校內外比賽且獲獎。</w:t>
            </w:r>
          </w:p>
          <w:p>
            <w:pPr>
              <w:spacing w:line="320" w:lineRule="exact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 xml:space="preserve">       (4)學習、生活中有優良的表現，在課堂公開表揚；若有不好的行為，協助找出</w:t>
            </w:r>
          </w:p>
          <w:p>
            <w:pPr>
              <w:spacing w:line="320" w:lineRule="exact"/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 xml:space="preserve">          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 xml:space="preserve">問題原因，尋找改進策略。需要家人協助時，會在聯絡簿上告知家長。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28" w:type="dxa"/>
            <w:right w:w="28" w:type="dxa"/>
          </w:tblCellMar>
        </w:tblPrEx>
        <w:trPr>
          <w:cantSplit/>
          <w:trHeight w:val="5140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標楷體" w:eastAsia="標楷體"/>
                <w:sz w:val="24"/>
                <w:szCs w:val="24"/>
              </w:rPr>
            </w:pPr>
            <w:r>
              <w:rPr>
                <w:rFonts w:hint="eastAsia" w:ascii="標楷體" w:eastAsia="標楷體"/>
                <w:sz w:val="24"/>
                <w:szCs w:val="24"/>
              </w:rPr>
              <w:t>家長配合事項</w:t>
            </w:r>
          </w:p>
        </w:tc>
        <w:tc>
          <w:tcPr>
            <w:tcW w:w="9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每天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簽閱聯絡簿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，檢查孩子回家功課是否已完成，還有關心孩子課業的訂正情形，了解孩子在學校的學習狀況及對孩子的問題能適時給予協助或指導。若有疑問，請隨時向級任老師反映。若有不良的行為出現，老師會及時在聯絡簿上註明，讓家長了解，共同協助孩子改善。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鼓勵並陪伴孩子閱讀，啟發孩子閱讀的興趣。並能多利用假日安排學習活動，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少看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電視和接觸3C產品，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以充實孩子的生活經驗。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要求孩子每天睡前檢查隔日上學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應準備的學用品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、收好家長簽名的回條、自己完成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生活實踐的項目，養成自我負責的好習慣。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請讓孩子</w:t>
            </w:r>
            <w:r>
              <w:rPr>
                <w:rFonts w:hint="eastAsia" w:ascii="標楷體" w:hAnsi="標楷體" w:eastAsia="標楷體" w:cs="Arial"/>
                <w:bCs/>
                <w:kern w:val="0"/>
                <w:sz w:val="24"/>
                <w:szCs w:val="24"/>
              </w:rPr>
              <w:t>用過早餐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再到學校，這樣可以每天少用塑膠袋，或是下課時跑出去玩而忘了吃，或是一早上科任課，也會延誤吃早餐。並準時在7：30分到7：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  <w:t>5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0分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  <w:t>到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校；幫孩子帶水壺多喝水，有足夠的體力才能有效學習。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/>
              </w:rPr>
              <w:t>帶齊學用品到校：(鉛筆盒：鉛筆5支以上、擦布、尺、彩虹筆1支、輕便雨衣、彩色筆、膠水、安全剪刀)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國習、數習、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聽寫簿、平時考卷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批閱後會請孩子帶回訂簽（訂正簽名），請指導孩子確實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 xml:space="preserve">  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訂正後再簽名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，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訂正後老師會於訂正處用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紅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筆打勾，當頁寫上OK）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老師發下的資料、學習單、練習卷、測驗卷都會請孩子放在聯絡L夾中，要交回的資料回條及單張紙的作業也請放在資料夾以免找不到。也請家長定期和孩子整理書包，將過期不需帶來的資料放在家裡，保持書包的整潔，避免背著過重的書包。資料夾若不慎遺失請補買一個並貼上姓名(同樣建議姓名貼外加上透明膠帶)。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</w:pP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因為武漢肺炎的關係，請家長每天上學前一定要在家裡幫孩子量體溫並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  <w:t>紀錄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簽名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  <w:t>，如果發燒，請在家休息，看完醫生，請來電告知孩子的狀況。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  <w:lang w:val="en-US" w:eastAsia="zh-TW"/>
              </w:rPr>
              <w:t>秋天將近，</w:t>
            </w:r>
            <w:r>
              <w:rPr>
                <w:rFonts w:hint="eastAsia" w:ascii="標楷體" w:hAnsi="標楷體" w:eastAsia="標楷體" w:cs="Arial"/>
                <w:kern w:val="0"/>
                <w:sz w:val="24"/>
                <w:szCs w:val="24"/>
              </w:rPr>
              <w:t>天氣多變化，請孩子在晚上可先上網預查隔天的天氣，然後穿適合的衣服，尤其是早晚冷、白天天氣炎熱時，可建議洋蔥式穿法，即棒球裝的穿法</w:t>
            </w:r>
          </w:p>
          <w:p>
            <w:pPr>
              <w:pStyle w:val="10"/>
              <w:widowControl/>
              <w:numPr>
                <w:ilvl w:val="0"/>
                <w:numId w:val="5"/>
              </w:numPr>
              <w:spacing w:before="100" w:beforeAutospacing="1" w:after="100" w:afterAutospacing="1"/>
              <w:ind w:leftChars="0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</w:rPr>
              <w:t>生病或臨時有事不能到校，8：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  <w:lang w:val="en-US" w:eastAsia="zh-TW"/>
              </w:rPr>
              <w:t>0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</w:rPr>
              <w:t>0前傳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  <w:lang w:val="en-US" w:eastAsia="zh-TW"/>
              </w:rPr>
              <w:t>line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</w:rPr>
              <w:t>給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  <w:lang w:val="en-US" w:eastAsia="zh-TW"/>
              </w:rPr>
              <w:t>導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</w:rPr>
              <w:t>師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  <w:lang w:val="en-US" w:eastAsia="zh-TW"/>
              </w:rPr>
              <w:t>，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</w:rPr>
              <w:t>超過</w:t>
            </w:r>
            <w:r>
              <w:rPr>
                <w:rFonts w:ascii="標楷體" w:hAnsi="標楷體" w:eastAsia="標楷體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</w:rPr>
              <w:t>天需填寫請假單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  <w:lang w:val="en-US" w:eastAsia="zh-TW"/>
              </w:rPr>
              <w:t>,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</w:rPr>
              <w:t>出國3天以上要附機票影本</w:t>
            </w:r>
            <w:r>
              <w:rPr>
                <w:rFonts w:hint="eastAsia" w:ascii="標楷體" w:hAnsi="標楷體" w:eastAsia="標楷體"/>
                <w:bCs/>
                <w:color w:val="000000"/>
                <w:sz w:val="24"/>
                <w:szCs w:val="24"/>
                <w:lang w:val="en-US" w:eastAsia="zh-TW"/>
              </w:rPr>
              <w:t>。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可多利用聯絡簿、電話、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  <w:lang w:val="en-US" w:eastAsia="zh-TW"/>
              </w:rPr>
              <w:t>line、</w:t>
            </w:r>
            <w:r>
              <w:rPr>
                <w:rFonts w:hint="eastAsia" w:ascii="標楷體" w:hAnsi="標楷體" w:eastAsia="標楷體"/>
                <w:color w:val="000000"/>
                <w:sz w:val="24"/>
                <w:szCs w:val="24"/>
              </w:rPr>
              <w:t>到校會談與老師聯繫。</w:t>
            </w:r>
          </w:p>
        </w:tc>
      </w:tr>
    </w:tbl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851" w:right="680" w:bottom="851" w:left="6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華康中黑體">
    <w:altName w:val="細明體"/>
    <w:panose1 w:val="00000000000000000000"/>
    <w:charset w:val="88"/>
    <w:family w:val="auto"/>
    <w:pitch w:val="default"/>
    <w:sig w:usb0="F1007BFF" w:usb1="29FFFFFF" w:usb2="00000037" w:usb3="00000000" w:csb0="003F00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華康粗明體">
    <w:altName w:val="細明體_HKSCS-ExtB"/>
    <w:panose1 w:val="02020709000000000000"/>
    <w:charset w:val="88"/>
    <w:family w:val="modern"/>
    <w:pitch w:val="default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altName w:val="新細明體"/>
    <w:panose1 w:val="00000000000000000000"/>
    <w:charset w:val="88"/>
    <w:family w:val="roman"/>
    <w:pitch w:val="default"/>
    <w:sig w:usb0="00000001" w:usb1="08080000" w:usb2="00000010" w:usb3="00000000" w:csb0="00100000" w:csb1="00000000"/>
  </w:font>
  <w:font w:name="全真顏體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altName w:val="Yu Gothic UI"/>
    <w:panose1 w:val="020B0502020202020204"/>
    <w:charset w:val="00"/>
    <w:family w:val="swiss"/>
    <w:pitch w:val="default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38474324">
    <w:nsid w:val="679F0354"/>
    <w:multiLevelType w:val="multilevel"/>
    <w:tmpl w:val="679F0354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 w:ascii="標楷體" w:hAnsi="標楷體" w:eastAsia="標楷體"/>
        <w:sz w:val="24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9986540">
    <w:nsid w:val="5F5DDB6C"/>
    <w:multiLevelType w:val="singleLevel"/>
    <w:tmpl w:val="5F5DDB6C"/>
    <w:lvl w:ilvl="0" w:tentative="1">
      <w:start w:val="1"/>
      <w:numFmt w:val="decimal"/>
      <w:suff w:val="nothing"/>
      <w:lvlText w:val="%1、"/>
      <w:lvlJc w:val="left"/>
    </w:lvl>
  </w:abstractNum>
  <w:abstractNum w:abstractNumId="1599986709">
    <w:nsid w:val="5F5DDC15"/>
    <w:multiLevelType w:val="singleLevel"/>
    <w:tmpl w:val="5F5DDC15"/>
    <w:lvl w:ilvl="0" w:tentative="1">
      <w:start w:val="2"/>
      <w:numFmt w:val="decimal"/>
      <w:suff w:val="nothing"/>
      <w:lvlText w:val="%1、"/>
      <w:lvlJc w:val="left"/>
    </w:lvl>
  </w:abstractNum>
  <w:abstractNum w:abstractNumId="1599984530">
    <w:nsid w:val="5F5DD392"/>
    <w:multiLevelType w:val="singleLevel"/>
    <w:tmpl w:val="5F5DD392"/>
    <w:lvl w:ilvl="0" w:tentative="1">
      <w:start w:val="1"/>
      <w:numFmt w:val="chineseCounting"/>
      <w:suff w:val="nothing"/>
      <w:lvlText w:val="%1、"/>
      <w:lvlJc w:val="left"/>
    </w:lvl>
  </w:abstractNum>
  <w:abstractNum w:abstractNumId="1599992252">
    <w:nsid w:val="5F5DF1BC"/>
    <w:multiLevelType w:val="singleLevel"/>
    <w:tmpl w:val="5F5DF1BC"/>
    <w:lvl w:ilvl="0" w:tentative="1">
      <w:start w:val="2"/>
      <w:numFmt w:val="decimal"/>
      <w:suff w:val="nothing"/>
      <w:lvlText w:val="(%1)"/>
      <w:lvlJc w:val="left"/>
    </w:lvl>
  </w:abstractNum>
  <w:num w:numId="1">
    <w:abstractNumId w:val="1599984530"/>
  </w:num>
  <w:num w:numId="2">
    <w:abstractNumId w:val="1599992252"/>
  </w:num>
  <w:num w:numId="3">
    <w:abstractNumId w:val="1599986540"/>
  </w:num>
  <w:num w:numId="4">
    <w:abstractNumId w:val="1599986709"/>
  </w:num>
  <w:num w:numId="5">
    <w:abstractNumId w:val="17384743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paragraph" w:styleId="2">
    <w:name w:val="Body Text Indent"/>
    <w:basedOn w:val="1"/>
    <w:semiHidden/>
    <w:unhideWhenUsed/>
    <w:uiPriority w:val="0"/>
    <w:pPr>
      <w:ind w:left="360"/>
      <w:jc w:val="both"/>
    </w:pPr>
    <w:rPr>
      <w:rFonts w:ascii="全真顏體" w:hAnsi="Courier New"/>
      <w:szCs w:val="20"/>
    </w:rPr>
  </w:style>
  <w:style w:type="paragraph" w:styleId="3">
    <w:name w:val="Plain Text"/>
    <w:basedOn w:val="1"/>
    <w:link w:val="14"/>
    <w:uiPriority w:val="0"/>
    <w:rPr>
      <w:rFonts w:ascii="細明體" w:hAnsi="Courier New" w:eastAsia="細明體" w:cs="Courier New"/>
    </w:rPr>
  </w:style>
  <w:style w:type="paragraph" w:styleId="4">
    <w:name w:val="Balloon Text"/>
    <w:basedOn w:val="1"/>
    <w:link w:val="15"/>
    <w:semiHidden/>
    <w:unhideWhenUsed/>
    <w:uiPriority w:val="99"/>
    <w:rPr>
      <w:rFonts w:ascii="Cambria" w:hAnsi="Cambria"/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9">
    <w:name w:val="(1)建議表標題"/>
    <w:basedOn w:val="1"/>
    <w:uiPriority w:val="0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10">
    <w:name w:val="清單段落1"/>
    <w:basedOn w:val="1"/>
    <w:qFormat/>
    <w:uiPriority w:val="34"/>
    <w:pPr>
      <w:ind w:left="480" w:leftChars="200"/>
    </w:pPr>
  </w:style>
  <w:style w:type="paragraph" w:customStyle="1" w:styleId="11">
    <w:name w:val="無間距1"/>
    <w:qFormat/>
    <w:uiPriority w:val="1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12">
    <w:name w:val="頁首 字元"/>
    <w:link w:val="6"/>
    <w:uiPriority w:val="99"/>
    <w:rPr>
      <w:sz w:val="20"/>
      <w:szCs w:val="20"/>
    </w:rPr>
  </w:style>
  <w:style w:type="character" w:customStyle="1" w:styleId="13">
    <w:name w:val="頁尾 字元"/>
    <w:link w:val="5"/>
    <w:uiPriority w:val="99"/>
    <w:rPr>
      <w:sz w:val="20"/>
      <w:szCs w:val="20"/>
    </w:rPr>
  </w:style>
  <w:style w:type="character" w:customStyle="1" w:styleId="14">
    <w:name w:val="純文字 字元"/>
    <w:link w:val="3"/>
    <w:uiPriority w:val="0"/>
    <w:rPr>
      <w:rFonts w:ascii="細明體" w:hAnsi="Courier New" w:eastAsia="細明體" w:cs="Courier New"/>
      <w:szCs w:val="24"/>
    </w:rPr>
  </w:style>
  <w:style w:type="character" w:customStyle="1" w:styleId="15">
    <w:name w:val="註解方塊文字 字元"/>
    <w:link w:val="4"/>
    <w:semiHidden/>
    <w:uiPriority w:val="99"/>
    <w:rPr>
      <w:rFonts w:ascii="Cambria" w:hAnsi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980</Characters>
  <Lines>8</Lines>
  <Paragraphs>2</Paragraphs>
  <TotalTime>0</TotalTime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2018-09-11T08:24:00Z</dcterms:created>
  <dc:creator>sinlune</dc:creator>
  <cp:lastModifiedBy>a9606</cp:lastModifiedBy>
  <dcterms:modified xsi:type="dcterms:W3CDTF">2020-09-13T10:36:38Z</dcterms:modified>
  <dc:title>新北市新莊區豐年國民小學108學年度 四年五班 班級經營計畫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