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4F" w:rsidRPr="00CA064F" w:rsidRDefault="00CA064F" w:rsidP="0056100A">
      <w:pPr>
        <w:jc w:val="center"/>
        <w:rPr>
          <w:rFonts w:ascii="華康POP1體W7" w:eastAsia="華康POP1體W7" w:hint="eastAsia"/>
          <w:color w:val="0070C0"/>
          <w:sz w:val="120"/>
          <w:szCs w:val="120"/>
        </w:rPr>
      </w:pPr>
      <w:r w:rsidRPr="00CA064F">
        <w:rPr>
          <w:rFonts w:ascii="華康POP1體W7" w:eastAsia="華康POP1體W7" w:hint="eastAsia"/>
          <w:color w:val="0070C0"/>
          <w:sz w:val="120"/>
          <w:szCs w:val="120"/>
        </w:rPr>
        <w:t>六孝經營理念</w:t>
      </w:r>
    </w:p>
    <w:p w:rsidR="00CA064F" w:rsidRPr="00CA064F" w:rsidRDefault="00CA064F" w:rsidP="00CA064F">
      <w:pPr>
        <w:jc w:val="center"/>
        <w:rPr>
          <w:rFonts w:ascii="華康POP1體W7" w:eastAsia="華康POP1體W7" w:hint="eastAsia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品德為本</w:t>
      </w:r>
    </w:p>
    <w:p w:rsidR="00CA064F" w:rsidRPr="00CA064F" w:rsidRDefault="00CA064F" w:rsidP="0056100A">
      <w:pPr>
        <w:jc w:val="center"/>
        <w:rPr>
          <w:rFonts w:ascii="華康POP1體W7" w:eastAsia="華康POP1體W7" w:hint="eastAsia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多元學習</w:t>
      </w:r>
    </w:p>
    <w:p w:rsidR="00CA064F" w:rsidRPr="00CA064F" w:rsidRDefault="00CA064F" w:rsidP="0056100A">
      <w:pPr>
        <w:jc w:val="center"/>
        <w:rPr>
          <w:rFonts w:ascii="華康POP1體W7" w:eastAsia="華康POP1體W7" w:hint="eastAsia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適性發展</w:t>
      </w:r>
    </w:p>
    <w:p w:rsidR="00CA064F" w:rsidRPr="00CA064F" w:rsidRDefault="00CA064F" w:rsidP="0056100A">
      <w:pPr>
        <w:jc w:val="center"/>
        <w:rPr>
          <w:rFonts w:ascii="華康POP1體W7" w:eastAsia="華康POP1體W7" w:hint="eastAsia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立足雙溪</w:t>
      </w:r>
    </w:p>
    <w:p w:rsidR="00CA064F" w:rsidRPr="00CA064F" w:rsidRDefault="00CA064F" w:rsidP="0056100A">
      <w:pPr>
        <w:jc w:val="center"/>
        <w:rPr>
          <w:rFonts w:ascii="華康POP1體W7" w:eastAsia="華康POP1體W7" w:hint="eastAsia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放眼國際</w:t>
      </w:r>
    </w:p>
    <w:p w:rsidR="00CA064F" w:rsidRPr="00CA064F" w:rsidRDefault="00CA064F" w:rsidP="0056100A">
      <w:pPr>
        <w:jc w:val="center"/>
        <w:rPr>
          <w:rFonts w:ascii="華康POP1體W7" w:eastAsia="華康POP1體W7" w:hint="eastAsia"/>
          <w:color w:val="7030A0"/>
          <w:sz w:val="96"/>
          <w:szCs w:val="96"/>
        </w:rPr>
      </w:pPr>
    </w:p>
    <w:p w:rsidR="00CA064F" w:rsidRPr="00CA064F" w:rsidRDefault="00CA064F" w:rsidP="00CA064F">
      <w:pPr>
        <w:rPr>
          <w:rFonts w:ascii="華康POP1體W7" w:eastAsia="華康POP1體W7" w:hint="eastAsia"/>
          <w:color w:val="7030A0"/>
          <w:sz w:val="96"/>
          <w:szCs w:val="96"/>
        </w:rPr>
      </w:pPr>
    </w:p>
    <w:p w:rsidR="00B06B8C" w:rsidRPr="00CA064F" w:rsidRDefault="00C347E0" w:rsidP="0056100A">
      <w:pPr>
        <w:jc w:val="center"/>
        <w:rPr>
          <w:rFonts w:ascii="華康POP1體W7" w:eastAsia="華康POP1體W7"/>
          <w:color w:val="FF0000"/>
          <w:sz w:val="130"/>
          <w:szCs w:val="130"/>
        </w:rPr>
      </w:pPr>
      <w:r w:rsidRPr="00CA064F">
        <w:rPr>
          <w:rFonts w:ascii="華康POP1體W7" w:eastAsia="華康POP1體W7" w:hint="eastAsia"/>
          <w:color w:val="FF0000"/>
          <w:sz w:val="130"/>
          <w:szCs w:val="130"/>
        </w:rPr>
        <w:lastRenderedPageBreak/>
        <w:t>六</w:t>
      </w:r>
      <w:r w:rsidR="00B06B8C" w:rsidRPr="00CA064F">
        <w:rPr>
          <w:rFonts w:ascii="華康POP1體W7" w:eastAsia="華康POP1體W7" w:hint="eastAsia"/>
          <w:color w:val="FF0000"/>
          <w:sz w:val="130"/>
          <w:szCs w:val="130"/>
        </w:rPr>
        <w:t>孝班級公約</w:t>
      </w:r>
    </w:p>
    <w:p w:rsidR="00B06B8C" w:rsidRPr="00CA064F" w:rsidRDefault="00B06B8C" w:rsidP="0056100A">
      <w:pPr>
        <w:jc w:val="center"/>
        <w:rPr>
          <w:rFonts w:ascii="華康POP1體W7" w:eastAsia="華康POP1體W7"/>
          <w:color w:val="0000FF"/>
          <w:sz w:val="100"/>
          <w:szCs w:val="100"/>
        </w:rPr>
      </w:pPr>
      <w:r w:rsidRPr="00CA064F">
        <w:rPr>
          <w:rFonts w:ascii="華康POP1體W7" w:eastAsia="華康POP1體W7"/>
          <w:color w:val="0000FF"/>
          <w:sz w:val="100"/>
          <w:szCs w:val="100"/>
        </w:rPr>
        <w:t>尊師重道，有禮貌</w:t>
      </w:r>
    </w:p>
    <w:p w:rsidR="00B06B8C" w:rsidRPr="00CA064F" w:rsidRDefault="00B06B8C" w:rsidP="0056100A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友愛同學，相扶持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上課專心，守秩序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打掃環境，齊合力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服儀整齊，展精神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勤學守時，有恆貴</w:t>
      </w:r>
    </w:p>
    <w:p w:rsidR="00B06B8C" w:rsidRPr="00CA064F" w:rsidRDefault="00B06B8C" w:rsidP="0056100A">
      <w:pPr>
        <w:jc w:val="center"/>
        <w:rPr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口說好話，寬心境</w:t>
      </w:r>
    </w:p>
    <w:sectPr w:rsidR="00B06B8C" w:rsidRPr="00CA064F" w:rsidSect="00737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AF" w:rsidRDefault="006B7FAF" w:rsidP="009841FB">
      <w:r>
        <w:separator/>
      </w:r>
    </w:p>
  </w:endnote>
  <w:endnote w:type="continuationSeparator" w:id="0">
    <w:p w:rsidR="006B7FAF" w:rsidRDefault="006B7FAF" w:rsidP="0098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altName w:val="Arial Unicode MS"/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AF" w:rsidRDefault="006B7FAF" w:rsidP="009841FB">
      <w:r>
        <w:separator/>
      </w:r>
    </w:p>
  </w:footnote>
  <w:footnote w:type="continuationSeparator" w:id="0">
    <w:p w:rsidR="006B7FAF" w:rsidRDefault="006B7FAF" w:rsidP="0098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684"/>
    <w:multiLevelType w:val="multilevel"/>
    <w:tmpl w:val="8BB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34CF4"/>
    <w:multiLevelType w:val="multilevel"/>
    <w:tmpl w:val="FA1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76"/>
    <w:rsid w:val="00082976"/>
    <w:rsid w:val="0056100A"/>
    <w:rsid w:val="005B5B76"/>
    <w:rsid w:val="0061280C"/>
    <w:rsid w:val="006B7FAF"/>
    <w:rsid w:val="006F7F70"/>
    <w:rsid w:val="00737014"/>
    <w:rsid w:val="007B24AE"/>
    <w:rsid w:val="00820E9B"/>
    <w:rsid w:val="00834B79"/>
    <w:rsid w:val="009841FB"/>
    <w:rsid w:val="00A35710"/>
    <w:rsid w:val="00B06B8C"/>
    <w:rsid w:val="00C26F2E"/>
    <w:rsid w:val="00C347E0"/>
    <w:rsid w:val="00C941EC"/>
    <w:rsid w:val="00CA064F"/>
    <w:rsid w:val="00D25956"/>
    <w:rsid w:val="00DA553A"/>
    <w:rsid w:val="00E71AD7"/>
    <w:rsid w:val="00F74EFF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29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841F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8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841F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71A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89</Characters>
  <Application>Microsoft Office Word</Application>
  <DocSecurity>0</DocSecurity>
  <Lines>1</Lines>
  <Paragraphs>1</Paragraphs>
  <ScaleCrop>false</ScaleCrop>
  <Company>新竹縣雙溪國小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新竹縣雙溪國小</dc:creator>
  <cp:lastModifiedBy>teacher</cp:lastModifiedBy>
  <cp:revision>4</cp:revision>
  <cp:lastPrinted>2015-09-07T06:50:00Z</cp:lastPrinted>
  <dcterms:created xsi:type="dcterms:W3CDTF">2021-09-07T06:33:00Z</dcterms:created>
  <dcterms:modified xsi:type="dcterms:W3CDTF">2021-09-07T06:42:00Z</dcterms:modified>
</cp:coreProperties>
</file>