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3C" w:rsidRPr="005C283C" w:rsidRDefault="005C283C" w:rsidP="00B45E67">
      <w:pPr>
        <w:widowControl/>
        <w:shd w:val="clear" w:color="auto" w:fill="FFFFFF"/>
        <w:spacing w:line="500" w:lineRule="exact"/>
        <w:textAlignment w:val="baseline"/>
        <w:rPr>
          <w:rFonts w:ascii="微軟正黑體" w:eastAsia="微軟正黑體" w:hAnsi="微軟正黑體" w:cs="新細明體"/>
          <w:b/>
          <w:color w:val="4D4D4D"/>
          <w:spacing w:val="8"/>
          <w:kern w:val="0"/>
          <w:szCs w:val="24"/>
        </w:rPr>
      </w:pPr>
      <w:r w:rsidRPr="005C283C">
        <w:rPr>
          <w:rFonts w:ascii="微軟正黑體" w:eastAsia="微軟正黑體" w:hAnsi="微軟正黑體" w:cs="新細明體"/>
          <w:b/>
          <w:color w:val="4D4D4D"/>
          <w:spacing w:val="8"/>
          <w:kern w:val="0"/>
          <w:szCs w:val="24"/>
        </w:rPr>
        <w:fldChar w:fldCharType="begin"/>
      </w:r>
      <w:r w:rsidRPr="005C283C">
        <w:rPr>
          <w:rFonts w:ascii="微軟正黑體" w:eastAsia="微軟正黑體" w:hAnsi="微軟正黑體" w:cs="新細明體"/>
          <w:b/>
          <w:color w:val="4D4D4D"/>
          <w:spacing w:val="8"/>
          <w:kern w:val="0"/>
          <w:szCs w:val="24"/>
        </w:rPr>
        <w:instrText xml:space="preserve"> HYPERLINK "</w:instrText>
      </w:r>
      <w:r w:rsidRPr="005C283C">
        <w:rPr>
          <w:rFonts w:ascii="微軟正黑體" w:eastAsia="微軟正黑體" w:hAnsi="微軟正黑體" w:cs="新細明體" w:hint="eastAsia"/>
          <w:b/>
          <w:color w:val="4D4D4D"/>
          <w:spacing w:val="8"/>
          <w:kern w:val="0"/>
          <w:szCs w:val="24"/>
        </w:rPr>
        <w:instrText>https://law.moj.gov.tw/LawClass/LawAll.aspx?pcode=D0050023</w:instrText>
      </w:r>
      <w:r w:rsidRPr="005C283C">
        <w:rPr>
          <w:rFonts w:ascii="微軟正黑體" w:eastAsia="微軟正黑體" w:hAnsi="微軟正黑體" w:cs="新細明體"/>
          <w:b/>
          <w:color w:val="4D4D4D"/>
          <w:spacing w:val="8"/>
          <w:kern w:val="0"/>
          <w:szCs w:val="24"/>
        </w:rPr>
        <w:instrText xml:space="preserve">" </w:instrText>
      </w:r>
      <w:r w:rsidRPr="005C283C">
        <w:rPr>
          <w:rFonts w:ascii="微軟正黑體" w:eastAsia="微軟正黑體" w:hAnsi="微軟正黑體" w:cs="新細明體"/>
          <w:b/>
          <w:color w:val="4D4D4D"/>
          <w:spacing w:val="8"/>
          <w:kern w:val="0"/>
          <w:szCs w:val="24"/>
        </w:rPr>
        <w:fldChar w:fldCharType="separate"/>
      </w:r>
      <w:r w:rsidRPr="005C283C">
        <w:rPr>
          <w:rStyle w:val="a3"/>
          <w:rFonts w:ascii="微軟正黑體" w:eastAsia="微軟正黑體" w:hAnsi="微軟正黑體" w:cs="新細明體" w:hint="eastAsia"/>
          <w:b/>
          <w:spacing w:val="8"/>
          <w:kern w:val="0"/>
          <w:szCs w:val="24"/>
        </w:rPr>
        <w:t>https://law.moj.gov.tw/LawClass/LawAll.aspx?pcode=D0050023</w:t>
      </w:r>
      <w:r w:rsidRPr="005C283C">
        <w:rPr>
          <w:rFonts w:ascii="微軟正黑體" w:eastAsia="微軟正黑體" w:hAnsi="微軟正黑體" w:cs="新細明體"/>
          <w:b/>
          <w:color w:val="4D4D4D"/>
          <w:spacing w:val="8"/>
          <w:kern w:val="0"/>
          <w:szCs w:val="24"/>
        </w:rPr>
        <w:fldChar w:fldCharType="end"/>
      </w:r>
      <w:r w:rsidRPr="005C283C">
        <w:rPr>
          <w:rFonts w:ascii="微軟正黑體" w:eastAsia="微軟正黑體" w:hAnsi="微軟正黑體" w:cs="新細明體" w:hint="eastAsia"/>
          <w:b/>
          <w:color w:val="4D4D4D"/>
          <w:spacing w:val="8"/>
          <w:kern w:val="0"/>
          <w:szCs w:val="24"/>
        </w:rPr>
        <w:t xml:space="preserve">  (全國法規資料庫)</w:t>
      </w:r>
    </w:p>
    <w:p w:rsidR="0085633A" w:rsidRPr="005C283C" w:rsidRDefault="00B45E67" w:rsidP="00B45E67">
      <w:pPr>
        <w:widowControl/>
        <w:shd w:val="clear" w:color="auto" w:fill="FFFFFF"/>
        <w:spacing w:line="500" w:lineRule="exact"/>
        <w:textAlignment w:val="baseline"/>
        <w:rPr>
          <w:rFonts w:ascii="微軟正黑體" w:eastAsia="微軟正黑體" w:hAnsi="微軟正黑體" w:cs="新細明體"/>
          <w:b/>
          <w:color w:val="4D4D4D"/>
          <w:spacing w:val="8"/>
          <w:kern w:val="0"/>
          <w:szCs w:val="24"/>
        </w:rPr>
      </w:pPr>
      <w:r w:rsidRPr="005C283C">
        <w:rPr>
          <w:rFonts w:ascii="微軟正黑體" w:eastAsia="微軟正黑體" w:hAnsi="微軟正黑體" w:cs="新細明體" w:hint="eastAsia"/>
          <w:b/>
          <w:color w:val="4D4D4D"/>
          <w:spacing w:val="8"/>
          <w:kern w:val="0"/>
          <w:szCs w:val="24"/>
        </w:rPr>
        <w:t>立法院</w:t>
      </w:r>
      <w:r w:rsidRPr="005C283C">
        <w:rPr>
          <w:rFonts w:ascii="微軟正黑體" w:eastAsia="微軟正黑體" w:hAnsi="微軟正黑體" w:cs="新細明體" w:hint="eastAsia"/>
          <w:b/>
          <w:color w:val="4D4D4D"/>
          <w:spacing w:val="8"/>
          <w:kern w:val="0"/>
          <w:szCs w:val="24"/>
          <w:u w:val="double"/>
        </w:rPr>
        <w:t>院會</w:t>
      </w:r>
      <w:r w:rsidRPr="005C283C">
        <w:rPr>
          <w:rFonts w:ascii="微軟正黑體" w:eastAsia="微軟正黑體" w:hAnsi="微軟正黑體" w:cs="新細明體" w:hint="eastAsia"/>
          <w:b/>
          <w:color w:val="4D4D4D"/>
          <w:spacing w:val="8"/>
          <w:kern w:val="0"/>
          <w:szCs w:val="24"/>
        </w:rPr>
        <w:t>於西元2019年3月29日，三讀通過修正《兒童及少年福利與權益保障法》（簡稱兒少法）部分條文，</w:t>
      </w:r>
      <w:proofErr w:type="gramStart"/>
      <w:r w:rsidRPr="005C283C">
        <w:rPr>
          <w:rFonts w:ascii="微軟正黑體" w:eastAsia="微軟正黑體" w:hAnsi="微軟正黑體" w:cs="新細明體" w:hint="eastAsia"/>
          <w:b/>
          <w:color w:val="4D4D4D"/>
          <w:spacing w:val="8"/>
          <w:kern w:val="0"/>
          <w:szCs w:val="24"/>
        </w:rPr>
        <w:t>明定托嬰</w:t>
      </w:r>
      <w:proofErr w:type="gramEnd"/>
      <w:r w:rsidRPr="005C283C">
        <w:rPr>
          <w:rFonts w:ascii="微軟正黑體" w:eastAsia="微軟正黑體" w:hAnsi="微軟正黑體" w:cs="新細明體" w:hint="eastAsia"/>
          <w:b/>
          <w:color w:val="4D4D4D"/>
          <w:spacing w:val="8"/>
          <w:kern w:val="0"/>
          <w:szCs w:val="24"/>
        </w:rPr>
        <w:t>中心應裝設監視錄影設備；建立6歲以下兒少死因回溯分析；兒少機構不適任人員要建檔；</w:t>
      </w:r>
      <w:proofErr w:type="gramStart"/>
      <w:r w:rsidRPr="005C283C">
        <w:rPr>
          <w:rFonts w:ascii="微軟正黑體" w:eastAsia="微軟正黑體" w:hAnsi="微軟正黑體" w:cs="新細明體" w:hint="eastAsia"/>
          <w:b/>
          <w:color w:val="4D4D4D"/>
          <w:spacing w:val="8"/>
          <w:kern w:val="0"/>
          <w:szCs w:val="24"/>
        </w:rPr>
        <w:t>對兒少</w:t>
      </w:r>
      <w:proofErr w:type="gramEnd"/>
      <w:r w:rsidRPr="005C283C">
        <w:rPr>
          <w:rFonts w:ascii="微軟正黑體" w:eastAsia="微軟正黑體" w:hAnsi="微軟正黑體" w:cs="新細明體" w:hint="eastAsia"/>
          <w:b/>
          <w:color w:val="4D4D4D"/>
          <w:spacing w:val="8"/>
          <w:kern w:val="0"/>
          <w:szCs w:val="24"/>
        </w:rPr>
        <w:t>不當行為提高罰鍰上限。立委表示，接下來將關注《刑法》中與兒</w:t>
      </w:r>
      <w:proofErr w:type="gramStart"/>
      <w:r w:rsidRPr="005C283C">
        <w:rPr>
          <w:rFonts w:ascii="微軟正黑體" w:eastAsia="微軟正黑體" w:hAnsi="微軟正黑體" w:cs="新細明體" w:hint="eastAsia"/>
          <w:b/>
          <w:color w:val="4D4D4D"/>
          <w:spacing w:val="8"/>
          <w:kern w:val="0"/>
          <w:szCs w:val="24"/>
        </w:rPr>
        <w:t>虐</w:t>
      </w:r>
      <w:proofErr w:type="gramEnd"/>
      <w:r w:rsidRPr="005C283C">
        <w:rPr>
          <w:rFonts w:ascii="微軟正黑體" w:eastAsia="微軟正黑體" w:hAnsi="微軟正黑體" w:cs="新細明體" w:hint="eastAsia"/>
          <w:b/>
          <w:color w:val="4D4D4D"/>
          <w:spacing w:val="8"/>
          <w:kern w:val="0"/>
          <w:szCs w:val="24"/>
        </w:rPr>
        <w:t>相關的條文，討論刑度與「凌</w:t>
      </w:r>
      <w:proofErr w:type="gramStart"/>
      <w:r w:rsidRPr="005C283C">
        <w:rPr>
          <w:rFonts w:ascii="微軟正黑體" w:eastAsia="微軟正黑體" w:hAnsi="微軟正黑體" w:cs="新細明體" w:hint="eastAsia"/>
          <w:b/>
          <w:color w:val="4D4D4D"/>
          <w:spacing w:val="8"/>
          <w:kern w:val="0"/>
          <w:szCs w:val="24"/>
        </w:rPr>
        <w:t>虐</w:t>
      </w:r>
      <w:proofErr w:type="gramEnd"/>
      <w:r w:rsidRPr="005C283C">
        <w:rPr>
          <w:rFonts w:ascii="微軟正黑體" w:eastAsia="微軟正黑體" w:hAnsi="微軟正黑體" w:cs="新細明體" w:hint="eastAsia"/>
          <w:b/>
          <w:color w:val="4D4D4D"/>
          <w:spacing w:val="8"/>
          <w:kern w:val="0"/>
          <w:szCs w:val="24"/>
        </w:rPr>
        <w:t>」的定義。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D938DF" w:rsidRPr="005C283C" w:rsidTr="00B45E67">
        <w:tc>
          <w:tcPr>
            <w:tcW w:w="104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8DF" w:rsidRPr="005C283C" w:rsidRDefault="00D938DF" w:rsidP="00A572C4">
            <w:pPr>
              <w:widowControl/>
              <w:spacing w:line="520" w:lineRule="exact"/>
              <w:textAlignment w:val="baseline"/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</w:pP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家庭教育法</w:t>
            </w:r>
            <w:r w:rsidRPr="005C283C">
              <w:rPr>
                <w:rFonts w:ascii="微軟正黑體" w:eastAsia="微軟正黑體" w:hAnsi="微軟正黑體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→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教師法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(</w:t>
            </w:r>
            <w:r w:rsidR="005C283C"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不適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任教師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)</w:t>
            </w:r>
            <w:r w:rsidRPr="005C283C">
              <w:rPr>
                <w:rFonts w:ascii="微軟正黑體" w:eastAsia="微軟正黑體" w:hAnsi="微軟正黑體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→</w:t>
            </w:r>
            <w:proofErr w:type="gramStart"/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兒少法</w:t>
            </w:r>
            <w:proofErr w:type="gramEnd"/>
            <w:r w:rsidRPr="005C283C">
              <w:rPr>
                <w:rFonts w:ascii="微軟正黑體" w:eastAsia="微軟正黑體" w:hAnsi="微軟正黑體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→</w:t>
            </w:r>
            <w:r w:rsidR="00EB36BD">
              <w:rPr>
                <w:rFonts w:ascii="微軟正黑體" w:eastAsia="微軟正黑體" w:hAnsi="微軟正黑體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少事法→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刑法</w:t>
            </w:r>
          </w:p>
        </w:tc>
      </w:tr>
      <w:tr w:rsidR="00B45E67" w:rsidRPr="005C283C" w:rsidTr="00B45E67">
        <w:tc>
          <w:tcPr>
            <w:tcW w:w="104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2C4" w:rsidRPr="005C283C" w:rsidRDefault="00B45E67" w:rsidP="00A572C4">
            <w:pPr>
              <w:widowControl/>
              <w:spacing w:line="520" w:lineRule="exact"/>
              <w:textAlignment w:val="baseline"/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</w:pP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兒少機構</w:t>
            </w:r>
            <w:r w:rsidR="00A572C4"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不適任人員要建檔追蹤</w:t>
            </w:r>
            <w:r w:rsidR="00A572C4" w:rsidRPr="005C283C">
              <w:rPr>
                <w:rFonts w:ascii="微軟正黑體" w:eastAsia="微軟正黑體" w:hAnsi="微軟正黑體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→</w:t>
            </w:r>
            <w:proofErr w:type="gramStart"/>
            <w:r w:rsidR="005C283C"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建立狼師</w:t>
            </w:r>
            <w:proofErr w:type="gramEnd"/>
            <w:r w:rsidR="005C283C"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、惡保母資料庫；聘僱前未主動查證的罰則</w:t>
            </w:r>
          </w:p>
        </w:tc>
      </w:tr>
      <w:tr w:rsidR="00B45E67" w:rsidRPr="005C283C" w:rsidTr="00B45E67">
        <w:tc>
          <w:tcPr>
            <w:tcW w:w="104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E67" w:rsidRPr="005C283C" w:rsidRDefault="00B45E67" w:rsidP="00B45E67">
            <w:pPr>
              <w:widowControl/>
              <w:spacing w:line="520" w:lineRule="exact"/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</w:pPr>
            <w:r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對</w:t>
            </w:r>
            <w:r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6</w:t>
            </w:r>
            <w:r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歲以下兒童死亡原因回溯分析，並定期公布結果。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(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參考</w:t>
            </w:r>
            <w:r w:rsidR="005C283C"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自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英國、日本、紐西蘭、澳洲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  <w:tr w:rsidR="00B45E67" w:rsidRPr="005C283C" w:rsidTr="00B45E67">
        <w:tc>
          <w:tcPr>
            <w:tcW w:w="104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E67" w:rsidRPr="005C283C" w:rsidRDefault="00B45E67" w:rsidP="00B45E67">
            <w:pPr>
              <w:widowControl/>
              <w:spacing w:line="520" w:lineRule="exact"/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</w:pPr>
            <w:r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托嬰中心應裝設監視錄影設備。</w:t>
            </w:r>
          </w:p>
        </w:tc>
      </w:tr>
      <w:tr w:rsidR="00B45E67" w:rsidRPr="005C283C" w:rsidTr="00B45E67">
        <w:tc>
          <w:tcPr>
            <w:tcW w:w="104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E67" w:rsidRPr="005C283C" w:rsidRDefault="00B45E67" w:rsidP="00B45E67">
            <w:pPr>
              <w:widowControl/>
              <w:spacing w:line="520" w:lineRule="exact"/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</w:pPr>
            <w:proofErr w:type="gramStart"/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對兒少</w:t>
            </w:r>
            <w:proofErr w:type="gramEnd"/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不當行為，</w:t>
            </w:r>
            <w:r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罰鍰</w:t>
            </w:r>
            <w:r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6</w:t>
            </w:r>
            <w:r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萬～</w:t>
            </w:r>
            <w:r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60</w:t>
            </w:r>
            <w:r w:rsidR="000E7136"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萬</w:t>
            </w:r>
            <w:r w:rsidR="000E7136"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，公布姓名、單位名稱。</w:t>
            </w:r>
          </w:p>
        </w:tc>
      </w:tr>
      <w:tr w:rsidR="000E7136" w:rsidRPr="005C283C" w:rsidTr="00B45E67">
        <w:tc>
          <w:tcPr>
            <w:tcW w:w="104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8DF" w:rsidRPr="005C283C" w:rsidRDefault="00D938DF" w:rsidP="00B45E67">
            <w:pPr>
              <w:widowControl/>
              <w:spacing w:line="520" w:lineRule="exact"/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</w:pP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有兒</w:t>
            </w:r>
            <w:proofErr w:type="gramStart"/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虐</w:t>
            </w:r>
            <w:proofErr w:type="gramEnd"/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事件發生，社工可</w:t>
            </w:r>
            <w:r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請警察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、</w:t>
            </w:r>
            <w:r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檢察機關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強制破門</w:t>
            </w:r>
            <w:r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介入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，立即緊急安置</w:t>
            </w:r>
          </w:p>
        </w:tc>
      </w:tr>
      <w:tr w:rsidR="00B45E67" w:rsidRPr="005C283C" w:rsidTr="00B45E67">
        <w:tc>
          <w:tcPr>
            <w:tcW w:w="104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8DF" w:rsidRPr="005C283C" w:rsidRDefault="00D938DF" w:rsidP="00B45E67">
            <w:pPr>
              <w:widowControl/>
              <w:spacing w:line="520" w:lineRule="exact"/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</w:pP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賣酒、</w:t>
            </w:r>
            <w:proofErr w:type="gramStart"/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檳榔給兒少</w:t>
            </w:r>
            <w:proofErr w:type="gramEnd"/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，罰鍰最高新台幣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10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萬元，毒品</w:t>
            </w:r>
            <w:r w:rsidRPr="005C283C">
              <w:rPr>
                <w:rFonts w:ascii="微軟正黑體" w:eastAsia="微軟正黑體" w:hAnsi="微軟正黑體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→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6~60</w:t>
            </w: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萬</w:t>
            </w:r>
          </w:p>
        </w:tc>
      </w:tr>
      <w:tr w:rsidR="00451030" w:rsidRPr="005C283C" w:rsidTr="00B45E67">
        <w:tc>
          <w:tcPr>
            <w:tcW w:w="104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1030" w:rsidRPr="005C283C" w:rsidRDefault="00451030" w:rsidP="00B45E67">
            <w:pPr>
              <w:widowControl/>
              <w:spacing w:line="520" w:lineRule="exact"/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</w:pP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社工發現兒童或少年涉入犯罪，如果有犯罪嫌疑，可以請檢察機關介入。</w:t>
            </w:r>
          </w:p>
        </w:tc>
      </w:tr>
      <w:tr w:rsidR="00D938DF" w:rsidRPr="005C283C" w:rsidTr="00B45E67">
        <w:tc>
          <w:tcPr>
            <w:tcW w:w="104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8DF" w:rsidRPr="005C283C" w:rsidRDefault="00D938DF" w:rsidP="00B45E67">
            <w:pPr>
              <w:widowControl/>
              <w:spacing w:line="520" w:lineRule="exact"/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</w:pP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性剝削防制條例</w:t>
            </w:r>
            <w:r w:rsidR="00451030"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(</w:t>
            </w:r>
            <w:r w:rsidR="00D71313"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不能</w:t>
            </w:r>
            <w:r w:rsidR="00451030"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強迫、引誘、容留或媒介兒童及少年為猥褻行為或性交</w:t>
            </w:r>
            <w:r w:rsidR="00451030"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)</w:t>
            </w:r>
            <w:r w:rsidR="00451030"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。</w:t>
            </w:r>
          </w:p>
          <w:p w:rsidR="0085633A" w:rsidRPr="005C283C" w:rsidRDefault="000324F0" w:rsidP="00B45E67">
            <w:pPr>
              <w:widowControl/>
              <w:spacing w:line="520" w:lineRule="exact"/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</w:pPr>
            <w:hyperlink r:id="rId4" w:history="1">
              <w:r w:rsidR="0085633A" w:rsidRPr="005C283C">
                <w:rPr>
                  <w:rStyle w:val="a3"/>
                  <w:rFonts w:ascii="inherit" w:eastAsia="微軟正黑體" w:hAnsi="inherit" w:cs="新細明體"/>
                  <w:b/>
                  <w:bCs/>
                  <w:spacing w:val="8"/>
                  <w:kern w:val="0"/>
                  <w:szCs w:val="24"/>
                  <w:bdr w:val="none" w:sz="0" w:space="0" w:color="auto" w:frame="1"/>
                </w:rPr>
                <w:t>https://law.moj.gov.tw/LawClass/LawAll.aspx?pcode=D0050023</w:t>
              </w:r>
            </w:hyperlink>
          </w:p>
        </w:tc>
      </w:tr>
      <w:tr w:rsidR="00B45E67" w:rsidRPr="005C283C" w:rsidTr="00B45E67">
        <w:tc>
          <w:tcPr>
            <w:tcW w:w="104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633A" w:rsidRPr="005C283C" w:rsidRDefault="000E7136" w:rsidP="00B45E67">
            <w:pPr>
              <w:widowControl/>
              <w:spacing w:line="520" w:lineRule="exact"/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</w:pPr>
            <w:proofErr w:type="gramStart"/>
            <w:r w:rsidRPr="005C283C"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  <w:t>吹哨者</w:t>
            </w:r>
            <w:proofErr w:type="gramEnd"/>
            <w:r w:rsidRPr="005C283C"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  <w:t>條款</w:t>
            </w:r>
            <w:r w:rsidRPr="005C283C">
              <w:rPr>
                <w:rFonts w:ascii="微軟正黑體" w:eastAsia="微軟正黑體" w:hAnsi="微軟正黑體" w:cs="新細明體" w:hint="eastAsia"/>
                <w:b/>
                <w:color w:val="4D4D4D"/>
                <w:spacing w:val="8"/>
                <w:kern w:val="0"/>
                <w:szCs w:val="24"/>
              </w:rPr>
              <w:t>→</w:t>
            </w:r>
            <w:r w:rsidRPr="005C283C"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  <w:t>24</w:t>
            </w:r>
            <w:r w:rsidRPr="005C283C"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  <w:t>小時內通報</w:t>
            </w:r>
            <w:r w:rsidRPr="005C283C">
              <w:rPr>
                <w:rFonts w:ascii="微軟正黑體" w:eastAsia="微軟正黑體" w:hAnsi="微軟正黑體" w:cs="新細明體" w:hint="eastAsia"/>
                <w:b/>
                <w:color w:val="4D4D4D"/>
                <w:spacing w:val="8"/>
                <w:kern w:val="0"/>
                <w:szCs w:val="24"/>
              </w:rPr>
              <w:t>→</w:t>
            </w:r>
            <w:r w:rsidRPr="005C283C"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  <w:t>通報人身分必須被保密</w:t>
            </w:r>
            <w:r w:rsidR="00E47851" w:rsidRPr="005C283C"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  <w:t>(</w:t>
            </w:r>
            <w:proofErr w:type="gramStart"/>
            <w:r w:rsidR="00E47851" w:rsidRPr="005C283C"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  <w:t>醫</w:t>
            </w:r>
            <w:proofErr w:type="gramEnd"/>
            <w:r w:rsidR="00E47851" w:rsidRPr="005C283C"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  <w:t>事、教育</w:t>
            </w:r>
            <w:r w:rsidR="0085633A" w:rsidRPr="005C283C"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  <w:t>、教保、社工</w:t>
            </w:r>
            <w:r w:rsidR="0085633A" w:rsidRPr="005C283C">
              <w:rPr>
                <w:rFonts w:ascii="inherit" w:eastAsia="微軟正黑體" w:hAnsi="inherit" w:cs="新細明體"/>
                <w:b/>
                <w:color w:val="4D4D4D"/>
                <w:spacing w:val="8"/>
                <w:kern w:val="0"/>
                <w:szCs w:val="24"/>
              </w:rPr>
              <w:t>…</w:t>
            </w:r>
            <w:r w:rsidR="0085633A" w:rsidRPr="005C283C"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  <w:t>等人員</w:t>
            </w:r>
            <w:r w:rsidR="0085633A" w:rsidRPr="005C283C"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  <w:t>)</w:t>
            </w:r>
          </w:p>
        </w:tc>
      </w:tr>
      <w:tr w:rsidR="00B45E67" w:rsidRPr="005C283C" w:rsidTr="00B45E67">
        <w:tc>
          <w:tcPr>
            <w:tcW w:w="104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E67" w:rsidRPr="005C283C" w:rsidRDefault="000E7136" w:rsidP="00B45E67">
            <w:pPr>
              <w:widowControl/>
              <w:spacing w:line="520" w:lineRule="exact"/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</w:pPr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推動兒童及少年政策時，</w:t>
            </w:r>
            <w:r w:rsidR="00B45E67"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必須邀請兒童及少年代表。</w:t>
            </w:r>
          </w:p>
        </w:tc>
      </w:tr>
      <w:tr w:rsidR="00B45E67" w:rsidRPr="005C283C" w:rsidTr="00B45E67">
        <w:tc>
          <w:tcPr>
            <w:tcW w:w="104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E67" w:rsidRPr="005C283C" w:rsidRDefault="000E7136" w:rsidP="00B45E67">
            <w:pPr>
              <w:widowControl/>
              <w:spacing w:line="520" w:lineRule="exact"/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</w:pPr>
            <w:proofErr w:type="gramStart"/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規劃課綱時</w:t>
            </w:r>
            <w:proofErr w:type="gramEnd"/>
            <w:r w:rsidRPr="005C283C">
              <w:rPr>
                <w:rFonts w:ascii="inherit" w:eastAsia="微軟正黑體" w:hAnsi="inherit" w:cs="新細明體" w:hint="eastAsia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，</w:t>
            </w:r>
            <w:r w:rsidR="00B45E67"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必須邀請兒童及少年代表參加。</w:t>
            </w:r>
          </w:p>
        </w:tc>
      </w:tr>
      <w:tr w:rsidR="00B45E67" w:rsidRPr="005C283C" w:rsidTr="00B45E67">
        <w:tc>
          <w:tcPr>
            <w:tcW w:w="104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E67" w:rsidRPr="005C283C" w:rsidRDefault="00B45E67" w:rsidP="00B45E67">
            <w:pPr>
              <w:widowControl/>
              <w:spacing w:line="520" w:lineRule="exact"/>
              <w:rPr>
                <w:rFonts w:ascii="inherit" w:eastAsia="微軟正黑體" w:hAnsi="inherit" w:cs="新細明體" w:hint="eastAsia"/>
                <w:b/>
                <w:color w:val="4D4D4D"/>
                <w:spacing w:val="8"/>
                <w:kern w:val="0"/>
                <w:szCs w:val="24"/>
              </w:rPr>
            </w:pPr>
            <w:r w:rsidRPr="005C283C">
              <w:rPr>
                <w:rFonts w:ascii="inherit" w:eastAsia="微軟正黑體" w:hAnsi="inherit" w:cs="新細明體"/>
                <w:b/>
                <w:bCs/>
                <w:color w:val="4D4D4D"/>
                <w:spacing w:val="8"/>
                <w:kern w:val="0"/>
                <w:szCs w:val="24"/>
                <w:bdr w:val="none" w:sz="0" w:space="0" w:color="auto" w:frame="1"/>
              </w:rPr>
              <w:t>主管機關應對被收養兒童及相關人提供「尋親服務」，必要時可以請求戶政、警政等相關機關協助。</w:t>
            </w:r>
          </w:p>
        </w:tc>
      </w:tr>
    </w:tbl>
    <w:p w:rsidR="00B45E67" w:rsidRPr="005C283C" w:rsidRDefault="00B45E67" w:rsidP="00B45E67">
      <w:pPr>
        <w:widowControl/>
        <w:shd w:val="clear" w:color="auto" w:fill="FFFFFF"/>
        <w:spacing w:line="396" w:lineRule="atLeast"/>
        <w:ind w:left="480"/>
        <w:textAlignment w:val="baseline"/>
        <w:outlineLvl w:val="4"/>
        <w:rPr>
          <w:rFonts w:ascii="微軟正黑體" w:eastAsia="微軟正黑體" w:hAnsi="微軟正黑體" w:cs="新細明體"/>
          <w:b/>
          <w:bCs/>
          <w:color w:val="4D4D4D"/>
          <w:spacing w:val="8"/>
          <w:kern w:val="0"/>
          <w:sz w:val="27"/>
          <w:szCs w:val="27"/>
        </w:rPr>
      </w:pPr>
      <w:r w:rsidRPr="005C283C">
        <w:rPr>
          <w:rFonts w:ascii="微軟正黑體" w:eastAsia="微軟正黑體" w:hAnsi="微軟正黑體" w:cs="新細明體" w:hint="eastAsia"/>
          <w:b/>
          <w:bCs/>
          <w:color w:val="4D4D4D"/>
          <w:spacing w:val="8"/>
          <w:kern w:val="0"/>
          <w:sz w:val="27"/>
          <w:szCs w:val="27"/>
        </w:rPr>
        <w:t>朝野合力讓《兒少法》三讀</w:t>
      </w:r>
      <w:r w:rsidR="00D71313" w:rsidRPr="005C283C">
        <w:rPr>
          <w:rFonts w:ascii="微軟正黑體" w:eastAsia="微軟正黑體" w:hAnsi="微軟正黑體" w:cs="新細明體" w:hint="eastAsia"/>
          <w:b/>
          <w:bCs/>
          <w:color w:val="4D4D4D"/>
          <w:spacing w:val="8"/>
          <w:kern w:val="0"/>
          <w:sz w:val="27"/>
          <w:szCs w:val="27"/>
        </w:rPr>
        <w:t>完成後</w:t>
      </w:r>
      <w:r w:rsidRPr="005C283C">
        <w:rPr>
          <w:rFonts w:ascii="微軟正黑體" w:eastAsia="微軟正黑體" w:hAnsi="微軟正黑體" w:cs="新細明體" w:hint="eastAsia"/>
          <w:b/>
          <w:bCs/>
          <w:color w:val="4D4D4D"/>
          <w:spacing w:val="8"/>
          <w:kern w:val="0"/>
          <w:sz w:val="27"/>
          <w:szCs w:val="27"/>
        </w:rPr>
        <w:t>，下一步是《刑法》修法</w:t>
      </w:r>
      <w:r w:rsidR="00E47851" w:rsidRPr="005C283C">
        <w:rPr>
          <w:rFonts w:ascii="微軟正黑體" w:eastAsia="微軟正黑體" w:hAnsi="微軟正黑體" w:cs="新細明體" w:hint="eastAsia"/>
          <w:b/>
          <w:bCs/>
          <w:color w:val="4D4D4D"/>
          <w:spacing w:val="8"/>
          <w:kern w:val="0"/>
          <w:sz w:val="27"/>
          <w:szCs w:val="27"/>
        </w:rPr>
        <w:t>~終結</w:t>
      </w:r>
      <w:proofErr w:type="gramStart"/>
      <w:r w:rsidR="00E47851" w:rsidRPr="005C283C">
        <w:rPr>
          <w:rFonts w:ascii="微軟正黑體" w:eastAsia="微軟正黑體" w:hAnsi="微軟正黑體" w:cs="新細明體" w:hint="eastAsia"/>
          <w:b/>
          <w:bCs/>
          <w:color w:val="4D4D4D"/>
          <w:spacing w:val="8"/>
          <w:kern w:val="0"/>
          <w:sz w:val="27"/>
          <w:szCs w:val="27"/>
        </w:rPr>
        <w:t>虐</w:t>
      </w:r>
      <w:proofErr w:type="gramEnd"/>
      <w:r w:rsidR="00E47851" w:rsidRPr="005C283C">
        <w:rPr>
          <w:rFonts w:ascii="微軟正黑體" w:eastAsia="微軟正黑體" w:hAnsi="微軟正黑體" w:cs="新細明體" w:hint="eastAsia"/>
          <w:b/>
          <w:bCs/>
          <w:color w:val="4D4D4D"/>
          <w:spacing w:val="8"/>
          <w:kern w:val="0"/>
          <w:sz w:val="27"/>
          <w:szCs w:val="27"/>
        </w:rPr>
        <w:t>童悲歌</w:t>
      </w:r>
    </w:p>
    <w:p w:rsidR="00D938DF" w:rsidRPr="005C283C" w:rsidRDefault="00D938DF">
      <w:pPr>
        <w:rPr>
          <w:rFonts w:asciiTheme="minorEastAsia" w:hAnsiTheme="minorEastAsia"/>
          <w:b/>
        </w:rPr>
      </w:pPr>
      <w:r w:rsidRPr="005C283C">
        <w:rPr>
          <w:rFonts w:asciiTheme="minorEastAsia" w:hAnsiTheme="minorEastAsia" w:hint="eastAsia"/>
          <w:b/>
        </w:rPr>
        <w:t>※討論凌</w:t>
      </w:r>
      <w:proofErr w:type="gramStart"/>
      <w:r w:rsidRPr="005C283C">
        <w:rPr>
          <w:rFonts w:asciiTheme="minorEastAsia" w:hAnsiTheme="minorEastAsia" w:hint="eastAsia"/>
          <w:b/>
        </w:rPr>
        <w:t>虐</w:t>
      </w:r>
      <w:proofErr w:type="gramEnd"/>
      <w:r w:rsidRPr="005C283C">
        <w:rPr>
          <w:rFonts w:asciiTheme="minorEastAsia" w:hAnsiTheme="minorEastAsia" w:hint="eastAsia"/>
          <w:b/>
        </w:rPr>
        <w:t>的定義、年齡範圍、刑度(死刑、無期徒刑</w:t>
      </w:r>
      <w:r w:rsidR="00D71313" w:rsidRPr="005C283C">
        <w:rPr>
          <w:rFonts w:asciiTheme="minorEastAsia" w:hAnsiTheme="minorEastAsia" w:hint="eastAsia"/>
          <w:b/>
        </w:rPr>
        <w:t>)</w:t>
      </w:r>
    </w:p>
    <w:p w:rsidR="00107C9E" w:rsidRPr="005C283C" w:rsidRDefault="00D938DF">
      <w:pPr>
        <w:rPr>
          <w:b/>
        </w:rPr>
      </w:pPr>
      <w:r w:rsidRPr="005C283C">
        <w:rPr>
          <w:rFonts w:asciiTheme="minorEastAsia" w:hAnsiTheme="minorEastAsia" w:hint="eastAsia"/>
          <w:b/>
        </w:rPr>
        <w:t>※與</w:t>
      </w:r>
      <w:r w:rsidRPr="005C283C">
        <w:rPr>
          <w:rFonts w:hint="eastAsia"/>
          <w:b/>
        </w:rPr>
        <w:t>聯合國兒童權利公約接軌</w:t>
      </w:r>
    </w:p>
    <w:p w:rsidR="00E47851" w:rsidRDefault="00E47851">
      <w:pPr>
        <w:rPr>
          <w:b/>
        </w:rPr>
      </w:pPr>
      <w:r w:rsidRPr="005C283C">
        <w:rPr>
          <w:rFonts w:asciiTheme="minorEastAsia" w:hAnsiTheme="minorEastAsia" w:hint="eastAsia"/>
          <w:b/>
        </w:rPr>
        <w:t>※</w:t>
      </w:r>
      <w:r w:rsidRPr="005C283C">
        <w:rPr>
          <w:rFonts w:hint="eastAsia"/>
          <w:b/>
        </w:rPr>
        <w:t>告訴乃論</w:t>
      </w:r>
      <w:r w:rsidRPr="005C283C">
        <w:rPr>
          <w:rFonts w:asciiTheme="minorEastAsia" w:hAnsiTheme="minorEastAsia" w:hint="eastAsia"/>
          <w:b/>
        </w:rPr>
        <w:t>→</w:t>
      </w:r>
      <w:r w:rsidRPr="005C283C">
        <w:rPr>
          <w:rFonts w:hint="eastAsia"/>
          <w:b/>
        </w:rPr>
        <w:t>不告不理</w:t>
      </w:r>
      <w:r w:rsidRPr="005C283C">
        <w:rPr>
          <w:rFonts w:hint="eastAsia"/>
          <w:b/>
        </w:rPr>
        <w:t>(</w:t>
      </w:r>
      <w:r w:rsidRPr="005C283C">
        <w:rPr>
          <w:rFonts w:hint="eastAsia"/>
          <w:b/>
        </w:rPr>
        <w:t>被害人</w:t>
      </w:r>
      <w:r w:rsidRPr="005C283C">
        <w:rPr>
          <w:rFonts w:hint="eastAsia"/>
          <w:b/>
        </w:rPr>
        <w:t>)</w:t>
      </w:r>
      <w:r w:rsidRPr="005C283C">
        <w:rPr>
          <w:rFonts w:hint="eastAsia"/>
          <w:b/>
        </w:rPr>
        <w:t>，告則應理</w:t>
      </w:r>
      <w:r w:rsidRPr="005C283C">
        <w:rPr>
          <w:rFonts w:hint="eastAsia"/>
          <w:b/>
        </w:rPr>
        <w:t>(</w:t>
      </w:r>
      <w:r w:rsidRPr="005C283C">
        <w:rPr>
          <w:rFonts w:hint="eastAsia"/>
          <w:b/>
        </w:rPr>
        <w:t>法院</w:t>
      </w:r>
      <w:r w:rsidRPr="005C283C">
        <w:rPr>
          <w:rFonts w:hint="eastAsia"/>
          <w:b/>
        </w:rPr>
        <w:t>)</w:t>
      </w:r>
    </w:p>
    <w:p w:rsidR="00572A36" w:rsidRDefault="00572A36" w:rsidP="00572A36"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t>※非告訴乃論(公</w:t>
      </w:r>
      <w:r w:rsidRPr="00572A36">
        <w:rPr>
          <w:rFonts w:ascii="新細明體" w:eastAsia="新細明體" w:hAnsi="新細明體" w:hint="eastAsia"/>
          <w:b/>
        </w:rPr>
        <w:t>訴罪</w:t>
      </w:r>
      <w:r>
        <w:rPr>
          <w:rFonts w:ascii="新細明體" w:eastAsia="新細明體" w:hAnsi="新細明體" w:hint="eastAsia"/>
          <w:b/>
        </w:rPr>
        <w:t>)→不能中途撤回→檢察官可直接加以起訴</w:t>
      </w:r>
    </w:p>
    <w:p w:rsidR="00EB36BD" w:rsidRPr="00EB36BD" w:rsidRDefault="00EB36BD" w:rsidP="00EB36BD">
      <w:pPr>
        <w:rPr>
          <w:rFonts w:ascii="新細明體" w:eastAsia="新細明體" w:hAnsi="新細明體" w:hint="eastAsia"/>
          <w:b/>
        </w:rPr>
      </w:pPr>
      <w:r>
        <w:rPr>
          <w:rFonts w:ascii="新細明體" w:eastAsia="新細明體" w:hAnsi="新細明體" w:hint="eastAsia"/>
          <w:b/>
        </w:rPr>
        <w:t>※</w:t>
      </w:r>
      <w:r w:rsidRPr="00EB36BD">
        <w:rPr>
          <w:rFonts w:ascii="新細明體" w:eastAsia="新細明體" w:hAnsi="新細明體" w:hint="eastAsia"/>
          <w:b/>
        </w:rPr>
        <w:t>院三讀少事法修正 兒童去刑罰化</w:t>
      </w:r>
    </w:p>
    <w:p w:rsidR="00EB36BD" w:rsidRPr="00EB36BD" w:rsidRDefault="00EB36BD" w:rsidP="00EB36BD"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t xml:space="preserve">  </w:t>
      </w:r>
      <w:bookmarkStart w:id="0" w:name="_GoBack"/>
      <w:bookmarkEnd w:id="0"/>
      <w:r w:rsidRPr="00EB36BD">
        <w:rPr>
          <w:rFonts w:ascii="新細明體" w:eastAsia="新細明體" w:hAnsi="新細明體"/>
          <w:b/>
        </w:rPr>
        <w:t>https://www.rti.org.tw/news/view/id/2022616</w:t>
      </w:r>
    </w:p>
    <w:sectPr w:rsidR="00EB36BD" w:rsidRPr="00EB36BD" w:rsidSect="00B45E67">
      <w:pgSz w:w="11906" w:h="16838"/>
      <w:pgMar w:top="397" w:right="624" w:bottom="39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7"/>
    <w:rsid w:val="000324F0"/>
    <w:rsid w:val="000E7136"/>
    <w:rsid w:val="00107C9E"/>
    <w:rsid w:val="00451030"/>
    <w:rsid w:val="00572A36"/>
    <w:rsid w:val="005C283C"/>
    <w:rsid w:val="0085633A"/>
    <w:rsid w:val="00A572C4"/>
    <w:rsid w:val="00B45E67"/>
    <w:rsid w:val="00D71313"/>
    <w:rsid w:val="00D938DF"/>
    <w:rsid w:val="00E47851"/>
    <w:rsid w:val="00E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3612"/>
  <w15:chartTrackingRefBased/>
  <w15:docId w15:val="{957489E1-7F15-44F0-BAFF-8963D6F8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w.moj.gov.tw/LawClass/LawAll.aspx?pcode=D005002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凱玲 高</dc:creator>
  <cp:keywords/>
  <dc:description/>
  <cp:lastModifiedBy>凱玲 高</cp:lastModifiedBy>
  <cp:revision>7</cp:revision>
  <dcterms:created xsi:type="dcterms:W3CDTF">2019-05-23T00:56:00Z</dcterms:created>
  <dcterms:modified xsi:type="dcterms:W3CDTF">2019-06-03T00:21:00Z</dcterms:modified>
</cp:coreProperties>
</file>